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43237" w14:textId="00BC7322" w:rsidR="000D5952" w:rsidRPr="00016D32" w:rsidRDefault="000D5952" w:rsidP="00887032">
      <w:pPr>
        <w:spacing w:after="40" w:line="240" w:lineRule="auto"/>
        <w:jc w:val="both"/>
        <w:rPr>
          <w:rFonts w:cstheme="minorHAnsi"/>
          <w:sz w:val="24"/>
          <w:szCs w:val="24"/>
        </w:rPr>
      </w:pPr>
      <w:r w:rsidRPr="00016D32">
        <w:tab/>
      </w:r>
      <w:r w:rsidRPr="00016D32">
        <w:tab/>
      </w:r>
      <w:r w:rsidRPr="00016D32">
        <w:tab/>
      </w:r>
      <w:r w:rsidRPr="00016D32">
        <w:tab/>
      </w:r>
      <w:r w:rsidRPr="00016D32">
        <w:tab/>
      </w:r>
      <w:r w:rsidRPr="00016D32">
        <w:tab/>
      </w:r>
      <w:r w:rsidRPr="00016D32">
        <w:tab/>
      </w:r>
      <w:r w:rsidRPr="00016D32">
        <w:tab/>
      </w:r>
      <w:r w:rsidRPr="00016D32">
        <w:tab/>
      </w:r>
      <w:r w:rsidRPr="00016D32">
        <w:tab/>
      </w:r>
      <w:r w:rsidRPr="00016D32">
        <w:rPr>
          <w:rFonts w:cstheme="minorHAnsi"/>
          <w:sz w:val="24"/>
          <w:szCs w:val="24"/>
        </w:rPr>
        <w:t xml:space="preserve">Tarnobrzeg, </w:t>
      </w:r>
      <w:r w:rsidR="00147D9F" w:rsidRPr="00016D32">
        <w:rPr>
          <w:rFonts w:cstheme="minorHAnsi"/>
          <w:sz w:val="24"/>
          <w:szCs w:val="24"/>
        </w:rPr>
        <w:t>10</w:t>
      </w:r>
      <w:r w:rsidRPr="00016D32">
        <w:rPr>
          <w:rFonts w:cstheme="minorHAnsi"/>
          <w:sz w:val="24"/>
          <w:szCs w:val="24"/>
        </w:rPr>
        <w:t>.0</w:t>
      </w:r>
      <w:r w:rsidR="00147D9F" w:rsidRPr="00016D32">
        <w:rPr>
          <w:rFonts w:cstheme="minorHAnsi"/>
          <w:sz w:val="24"/>
          <w:szCs w:val="24"/>
        </w:rPr>
        <w:t>9</w:t>
      </w:r>
      <w:r w:rsidRPr="00016D32">
        <w:rPr>
          <w:rFonts w:cstheme="minorHAnsi"/>
          <w:sz w:val="24"/>
          <w:szCs w:val="24"/>
        </w:rPr>
        <w:t>.2024r.</w:t>
      </w:r>
    </w:p>
    <w:p w14:paraId="030EB9A6" w14:textId="0AD3C353" w:rsidR="000D5952" w:rsidRPr="00016D32" w:rsidRDefault="000D5952" w:rsidP="00887032">
      <w:pPr>
        <w:spacing w:after="40" w:line="240" w:lineRule="auto"/>
        <w:jc w:val="both"/>
        <w:rPr>
          <w:rFonts w:cstheme="minorHAnsi"/>
          <w:sz w:val="24"/>
          <w:szCs w:val="24"/>
        </w:rPr>
      </w:pPr>
    </w:p>
    <w:p w14:paraId="0396C44F" w14:textId="64F4335E" w:rsidR="000D5952" w:rsidRPr="00016D32" w:rsidRDefault="000D5952" w:rsidP="00887032">
      <w:pPr>
        <w:spacing w:after="40" w:line="240" w:lineRule="auto"/>
        <w:jc w:val="both"/>
        <w:rPr>
          <w:rFonts w:cstheme="minorHAnsi"/>
          <w:b/>
          <w:bCs/>
          <w:sz w:val="24"/>
          <w:szCs w:val="24"/>
        </w:rPr>
      </w:pPr>
      <w:r w:rsidRPr="00016D32">
        <w:rPr>
          <w:rFonts w:cstheme="minorHAnsi"/>
          <w:b/>
          <w:bCs/>
          <w:sz w:val="24"/>
          <w:szCs w:val="24"/>
        </w:rPr>
        <w:tab/>
      </w:r>
      <w:r w:rsidRPr="00016D32">
        <w:rPr>
          <w:rFonts w:cstheme="minorHAnsi"/>
          <w:b/>
          <w:bCs/>
          <w:sz w:val="24"/>
          <w:szCs w:val="24"/>
        </w:rPr>
        <w:tab/>
      </w:r>
    </w:p>
    <w:p w14:paraId="72C45F12" w14:textId="4973AC9D" w:rsidR="000D5952" w:rsidRPr="00016D32" w:rsidRDefault="001F2782" w:rsidP="001F2782">
      <w:pPr>
        <w:spacing w:after="40" w:line="240" w:lineRule="auto"/>
        <w:jc w:val="center"/>
        <w:rPr>
          <w:rFonts w:cstheme="minorHAnsi"/>
          <w:b/>
          <w:bCs/>
          <w:sz w:val="24"/>
          <w:szCs w:val="24"/>
        </w:rPr>
      </w:pPr>
      <w:r w:rsidRPr="00016D32">
        <w:rPr>
          <w:rFonts w:cstheme="minorHAnsi"/>
          <w:b/>
          <w:bCs/>
          <w:sz w:val="24"/>
          <w:szCs w:val="24"/>
        </w:rPr>
        <w:t xml:space="preserve">SPRAWOZDANIE Z DZIAŁALNOŚCI </w:t>
      </w:r>
      <w:r w:rsidR="003B191B" w:rsidRPr="00016D32">
        <w:rPr>
          <w:rFonts w:cstheme="minorHAnsi"/>
          <w:b/>
          <w:bCs/>
          <w:sz w:val="24"/>
          <w:szCs w:val="24"/>
        </w:rPr>
        <w:t xml:space="preserve">SPÓŁKI </w:t>
      </w:r>
      <w:r w:rsidR="00E93039" w:rsidRPr="00016D32">
        <w:rPr>
          <w:rFonts w:cstheme="minorHAnsi"/>
          <w:b/>
          <w:bCs/>
          <w:sz w:val="24"/>
          <w:szCs w:val="24"/>
        </w:rPr>
        <w:t>TARNOBRZESKIE TOWARZYSTWO BUDOWNICTWA SPOŁECZNEGO SP. Z O.O.</w:t>
      </w:r>
      <w:r w:rsidR="00147D9F" w:rsidRPr="00016D32">
        <w:rPr>
          <w:rFonts w:cstheme="minorHAnsi"/>
          <w:b/>
          <w:bCs/>
          <w:sz w:val="24"/>
          <w:szCs w:val="24"/>
        </w:rPr>
        <w:t xml:space="preserve"> </w:t>
      </w:r>
    </w:p>
    <w:p w14:paraId="460E310B" w14:textId="7CD05ACC" w:rsidR="00147D9F" w:rsidRPr="00016D32" w:rsidRDefault="00147D9F" w:rsidP="001F2782">
      <w:pPr>
        <w:spacing w:after="40" w:line="240" w:lineRule="auto"/>
        <w:jc w:val="center"/>
        <w:rPr>
          <w:rFonts w:cstheme="minorHAnsi"/>
          <w:b/>
          <w:bCs/>
          <w:sz w:val="24"/>
          <w:szCs w:val="24"/>
        </w:rPr>
      </w:pPr>
      <w:r w:rsidRPr="00016D32">
        <w:rPr>
          <w:rFonts w:cstheme="minorHAnsi"/>
          <w:b/>
          <w:bCs/>
          <w:sz w:val="24"/>
          <w:szCs w:val="24"/>
        </w:rPr>
        <w:t>ZA  VII MIESIĘCY 2024 r.  Z OCENĄ STANU SPÓŁKI</w:t>
      </w:r>
    </w:p>
    <w:p w14:paraId="055745C6" w14:textId="77777777" w:rsidR="00C86190" w:rsidRPr="00016D32" w:rsidRDefault="00C86190" w:rsidP="00887032">
      <w:pPr>
        <w:spacing w:after="40" w:line="240" w:lineRule="auto"/>
        <w:jc w:val="both"/>
        <w:rPr>
          <w:rFonts w:cstheme="minorHAnsi"/>
          <w:sz w:val="24"/>
          <w:szCs w:val="24"/>
        </w:rPr>
      </w:pPr>
    </w:p>
    <w:p w14:paraId="7012E4B0" w14:textId="1B189FDA" w:rsidR="00482DC7" w:rsidRPr="00016D32" w:rsidRDefault="00B04AB3" w:rsidP="00887032">
      <w:pPr>
        <w:spacing w:after="40" w:line="240" w:lineRule="auto"/>
        <w:jc w:val="both"/>
        <w:rPr>
          <w:rFonts w:cstheme="minorHAnsi"/>
          <w:sz w:val="24"/>
          <w:szCs w:val="24"/>
        </w:rPr>
      </w:pPr>
      <w:r w:rsidRPr="00016D32">
        <w:rPr>
          <w:rFonts w:cstheme="minorHAnsi"/>
          <w:b/>
          <w:bCs/>
          <w:sz w:val="24"/>
          <w:szCs w:val="24"/>
        </w:rPr>
        <w:t>I. Wynik finansowy Spółki za VII miesięcy 2024r.</w:t>
      </w:r>
    </w:p>
    <w:p w14:paraId="313ED7AD" w14:textId="73EE938A" w:rsidR="000F264E" w:rsidRPr="00016D32" w:rsidRDefault="000F264E" w:rsidP="000F264E">
      <w:pPr>
        <w:spacing w:after="0" w:line="276" w:lineRule="auto"/>
        <w:jc w:val="both"/>
        <w:rPr>
          <w:rFonts w:cstheme="minorHAnsi"/>
          <w:kern w:val="0"/>
          <w:sz w:val="24"/>
          <w:szCs w:val="24"/>
          <w14:ligatures w14:val="standardContextual"/>
        </w:rPr>
      </w:pPr>
      <w:r w:rsidRPr="00016D32">
        <w:rPr>
          <w:rFonts w:cstheme="minorHAnsi"/>
          <w:b/>
          <w:bCs/>
          <w:kern w:val="0"/>
          <w:sz w:val="24"/>
          <w:szCs w:val="24"/>
          <w14:ligatures w14:val="standardContextual"/>
        </w:rPr>
        <w:t xml:space="preserve">I. </w:t>
      </w:r>
      <w:r w:rsidR="007D5F53" w:rsidRPr="00016D32">
        <w:rPr>
          <w:rFonts w:cstheme="minorHAnsi"/>
          <w:b/>
          <w:bCs/>
          <w:kern w:val="0"/>
          <w:sz w:val="24"/>
          <w:szCs w:val="24"/>
          <w14:ligatures w14:val="standardContextual"/>
        </w:rPr>
        <w:t>A.</w:t>
      </w:r>
      <w:r w:rsidR="007D5F53" w:rsidRPr="00016D32">
        <w:rPr>
          <w:rFonts w:cstheme="minorHAnsi"/>
          <w:kern w:val="0"/>
          <w:sz w:val="24"/>
          <w:szCs w:val="24"/>
          <w14:ligatures w14:val="standardContextual"/>
        </w:rPr>
        <w:t xml:space="preserve"> </w:t>
      </w:r>
      <w:r w:rsidRPr="00016D32">
        <w:rPr>
          <w:rFonts w:cstheme="minorHAnsi"/>
          <w:kern w:val="0"/>
          <w:sz w:val="24"/>
          <w:szCs w:val="24"/>
          <w14:ligatures w14:val="standardContextual"/>
        </w:rPr>
        <w:t>Spółka na dzień 3</w:t>
      </w:r>
      <w:r w:rsidR="00147D9F" w:rsidRPr="00016D32">
        <w:rPr>
          <w:rFonts w:cstheme="minorHAnsi"/>
          <w:kern w:val="0"/>
          <w:sz w:val="24"/>
          <w:szCs w:val="24"/>
          <w14:ligatures w14:val="standardContextual"/>
        </w:rPr>
        <w:t>1</w:t>
      </w:r>
      <w:r w:rsidRPr="00016D32">
        <w:rPr>
          <w:rFonts w:cstheme="minorHAnsi"/>
          <w:kern w:val="0"/>
          <w:sz w:val="24"/>
          <w:szCs w:val="24"/>
          <w14:ligatures w14:val="standardContextual"/>
        </w:rPr>
        <w:t>.0</w:t>
      </w:r>
      <w:r w:rsidR="00147D9F" w:rsidRPr="00016D32">
        <w:rPr>
          <w:rFonts w:cstheme="minorHAnsi"/>
          <w:kern w:val="0"/>
          <w:sz w:val="24"/>
          <w:szCs w:val="24"/>
          <w14:ligatures w14:val="standardContextual"/>
        </w:rPr>
        <w:t>7</w:t>
      </w:r>
      <w:r w:rsidRPr="00016D32">
        <w:rPr>
          <w:rFonts w:cstheme="minorHAnsi"/>
          <w:kern w:val="0"/>
          <w:sz w:val="24"/>
          <w:szCs w:val="24"/>
          <w14:ligatures w14:val="standardContextual"/>
        </w:rPr>
        <w:t>.2024 roku odnotowała stratę finansową, która wyniosła -</w:t>
      </w:r>
      <w:r w:rsidR="002A7448" w:rsidRPr="00016D32">
        <w:rPr>
          <w:rFonts w:cstheme="minorHAnsi"/>
          <w:kern w:val="0"/>
          <w:sz w:val="24"/>
          <w:szCs w:val="24"/>
          <w14:ligatures w14:val="standardContextual"/>
        </w:rPr>
        <w:t>601 781,69</w:t>
      </w:r>
      <w:r w:rsidRPr="00016D32">
        <w:rPr>
          <w:rFonts w:cstheme="minorHAnsi"/>
          <w:kern w:val="0"/>
          <w:sz w:val="24"/>
          <w:szCs w:val="24"/>
          <w14:ligatures w14:val="standardContextual"/>
        </w:rPr>
        <w:t xml:space="preserve"> zł. Strata dotyczyła zarówno całokształtu działalności jak również poszczególnych rodzajów działalności tj.:</w:t>
      </w:r>
    </w:p>
    <w:p w14:paraId="52E4C3B7" w14:textId="76D02316" w:rsidR="000F264E" w:rsidRPr="00016D32" w:rsidRDefault="000F264E" w:rsidP="000F264E">
      <w:pPr>
        <w:spacing w:after="0" w:line="276" w:lineRule="auto"/>
        <w:jc w:val="both"/>
        <w:rPr>
          <w:rFonts w:cstheme="minorHAnsi"/>
          <w:kern w:val="0"/>
          <w:sz w:val="24"/>
          <w:szCs w:val="24"/>
          <w14:ligatures w14:val="standardContextual"/>
        </w:rPr>
      </w:pPr>
      <w:r w:rsidRPr="00016D32">
        <w:rPr>
          <w:rFonts w:cstheme="minorHAnsi"/>
          <w:kern w:val="0"/>
          <w:sz w:val="24"/>
          <w:szCs w:val="24"/>
          <w14:ligatures w14:val="standardContextual"/>
        </w:rPr>
        <w:t>- na działalności operacyjnej strata wyniosła  – 1</w:t>
      </w:r>
      <w:r w:rsidR="00F15CEC" w:rsidRPr="00016D32">
        <w:rPr>
          <w:rFonts w:cstheme="minorHAnsi"/>
          <w:kern w:val="0"/>
          <w:sz w:val="24"/>
          <w:szCs w:val="24"/>
          <w14:ligatures w14:val="standardContextual"/>
        </w:rPr>
        <w:t>86 461,04</w:t>
      </w:r>
      <w:r w:rsidRPr="00016D32">
        <w:rPr>
          <w:rFonts w:cstheme="minorHAnsi"/>
          <w:kern w:val="0"/>
          <w:sz w:val="24"/>
          <w:szCs w:val="24"/>
          <w14:ligatures w14:val="standardContextual"/>
        </w:rPr>
        <w:t xml:space="preserve"> zł</w:t>
      </w:r>
    </w:p>
    <w:p w14:paraId="2D352257" w14:textId="17017C2D" w:rsidR="000F264E" w:rsidRPr="00016D32" w:rsidRDefault="000F264E" w:rsidP="000F264E">
      <w:pPr>
        <w:spacing w:after="0" w:line="276" w:lineRule="auto"/>
        <w:jc w:val="both"/>
        <w:rPr>
          <w:rFonts w:cstheme="minorHAnsi"/>
          <w:kern w:val="0"/>
          <w:sz w:val="24"/>
          <w:szCs w:val="24"/>
          <w14:ligatures w14:val="standardContextual"/>
        </w:rPr>
      </w:pPr>
      <w:r w:rsidRPr="00016D32">
        <w:rPr>
          <w:rFonts w:cstheme="minorHAnsi"/>
          <w:kern w:val="0"/>
          <w:sz w:val="24"/>
          <w:szCs w:val="24"/>
          <w14:ligatures w14:val="standardContextual"/>
        </w:rPr>
        <w:t>- na działalności finansowej strata wyniosła  –  2</w:t>
      </w:r>
      <w:r w:rsidR="00F15CEC" w:rsidRPr="00016D32">
        <w:rPr>
          <w:rFonts w:cstheme="minorHAnsi"/>
          <w:kern w:val="0"/>
          <w:sz w:val="24"/>
          <w:szCs w:val="24"/>
          <w14:ligatures w14:val="standardContextual"/>
        </w:rPr>
        <w:t>81 385,44</w:t>
      </w:r>
      <w:r w:rsidRPr="00016D32">
        <w:rPr>
          <w:rFonts w:cstheme="minorHAnsi"/>
          <w:kern w:val="0"/>
          <w:sz w:val="24"/>
          <w:szCs w:val="24"/>
          <w14:ligatures w14:val="standardContextual"/>
        </w:rPr>
        <w:t xml:space="preserve"> zł</w:t>
      </w:r>
    </w:p>
    <w:p w14:paraId="6A733BCB" w14:textId="015F970A" w:rsidR="000F264E" w:rsidRPr="00016D32" w:rsidRDefault="000F264E" w:rsidP="000F264E">
      <w:pPr>
        <w:spacing w:after="0" w:line="276" w:lineRule="auto"/>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 na pozostałej działalności operacyjnej starta wyniosła – </w:t>
      </w:r>
      <w:r w:rsidR="00F15CEC" w:rsidRPr="00016D32">
        <w:rPr>
          <w:rFonts w:cstheme="minorHAnsi"/>
          <w:kern w:val="0"/>
          <w:sz w:val="24"/>
          <w:szCs w:val="24"/>
          <w14:ligatures w14:val="standardContextual"/>
        </w:rPr>
        <w:t> 133 935,21</w:t>
      </w:r>
      <w:r w:rsidRPr="00016D32">
        <w:rPr>
          <w:rFonts w:cstheme="minorHAnsi"/>
          <w:kern w:val="0"/>
          <w:sz w:val="24"/>
          <w:szCs w:val="24"/>
          <w14:ligatures w14:val="standardContextual"/>
        </w:rPr>
        <w:t xml:space="preserve"> zł. </w:t>
      </w:r>
    </w:p>
    <w:p w14:paraId="61C9D2EE" w14:textId="77777777" w:rsidR="000F264E" w:rsidRPr="00016D32" w:rsidRDefault="000F264E" w:rsidP="000F264E">
      <w:pPr>
        <w:spacing w:after="0" w:line="276" w:lineRule="auto"/>
        <w:jc w:val="both"/>
        <w:rPr>
          <w:rFonts w:cstheme="minorHAnsi"/>
          <w:kern w:val="0"/>
          <w:sz w:val="24"/>
          <w:szCs w:val="24"/>
          <w14:ligatures w14:val="standardContextual"/>
        </w:rPr>
      </w:pPr>
      <w:r w:rsidRPr="00016D32">
        <w:rPr>
          <w:rFonts w:cstheme="minorHAnsi"/>
          <w:kern w:val="0"/>
          <w:sz w:val="24"/>
          <w:szCs w:val="24"/>
          <w14:ligatures w14:val="standardContextual"/>
        </w:rPr>
        <w:t>Do czynników wpływających w głównej mierze na wyniki Spółki w pierwszym półroczu 2024 roku zaliczyć trzeba:</w:t>
      </w:r>
    </w:p>
    <w:p w14:paraId="16ADDBCA" w14:textId="3D42F5AC" w:rsidR="000F264E" w:rsidRPr="00016D32" w:rsidRDefault="000F264E" w:rsidP="000F264E">
      <w:pPr>
        <w:numPr>
          <w:ilvl w:val="0"/>
          <w:numId w:val="16"/>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Niedoszacowanie stawki czynszu w zasobach własnych – obecne stawki czynszu nie pokrywają kosztów utrzymania zasobów związanych ze spłatą kredytów, eksploatacją</w:t>
      </w:r>
      <w:r w:rsidR="00F15CEC" w:rsidRPr="00016D32">
        <w:rPr>
          <w:rFonts w:cstheme="minorHAnsi"/>
          <w:kern w:val="0"/>
          <w:sz w:val="24"/>
          <w:szCs w:val="24"/>
          <w14:ligatures w14:val="standardContextual"/>
        </w:rPr>
        <w:br/>
      </w:r>
      <w:r w:rsidRPr="00016D32">
        <w:rPr>
          <w:rFonts w:cstheme="minorHAnsi"/>
          <w:kern w:val="0"/>
          <w:sz w:val="24"/>
          <w:szCs w:val="24"/>
          <w14:ligatures w14:val="standardContextual"/>
        </w:rPr>
        <w:t xml:space="preserve"> i remontami. </w:t>
      </w:r>
    </w:p>
    <w:p w14:paraId="26D59A5E" w14:textId="78491E68" w:rsidR="000F264E" w:rsidRPr="00016D32" w:rsidRDefault="000F264E" w:rsidP="000F264E">
      <w:pPr>
        <w:numPr>
          <w:ilvl w:val="0"/>
          <w:numId w:val="16"/>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Wzrost kosztów remontów zasobu własnego. Na dzień 3</w:t>
      </w:r>
      <w:r w:rsidR="00AA30C2" w:rsidRPr="00016D32">
        <w:rPr>
          <w:rFonts w:cstheme="minorHAnsi"/>
          <w:kern w:val="0"/>
          <w:sz w:val="24"/>
          <w:szCs w:val="24"/>
          <w14:ligatures w14:val="standardContextual"/>
        </w:rPr>
        <w:t>1</w:t>
      </w:r>
      <w:r w:rsidRPr="00016D32">
        <w:rPr>
          <w:rFonts w:cstheme="minorHAnsi"/>
          <w:kern w:val="0"/>
          <w:sz w:val="24"/>
          <w:szCs w:val="24"/>
          <w14:ligatures w14:val="standardContextual"/>
        </w:rPr>
        <w:t>.0</w:t>
      </w:r>
      <w:r w:rsidR="00D8476D" w:rsidRPr="00016D32">
        <w:rPr>
          <w:rFonts w:cstheme="minorHAnsi"/>
          <w:kern w:val="0"/>
          <w:sz w:val="24"/>
          <w:szCs w:val="24"/>
          <w14:ligatures w14:val="standardContextual"/>
        </w:rPr>
        <w:t>7</w:t>
      </w:r>
      <w:r w:rsidRPr="00016D32">
        <w:rPr>
          <w:rFonts w:cstheme="minorHAnsi"/>
          <w:kern w:val="0"/>
          <w:sz w:val="24"/>
          <w:szCs w:val="24"/>
          <w14:ligatures w14:val="standardContextual"/>
        </w:rPr>
        <w:t>.2024 zostały wykonane remonty:</w:t>
      </w:r>
    </w:p>
    <w:p w14:paraId="6B8FD4A6" w14:textId="77777777"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modernizacja instalacji CWU w budynkach Dekutowskiego 26 i 26A : </w:t>
      </w:r>
      <w:r w:rsidRPr="00016D32">
        <w:rPr>
          <w:rFonts w:cstheme="minorHAnsi"/>
          <w:kern w:val="0"/>
          <w:sz w:val="24"/>
          <w:szCs w:val="24"/>
          <w14:ligatures w14:val="standardContextual"/>
        </w:rPr>
        <w:tab/>
        <w:t>69 120,00 zł</w:t>
      </w:r>
    </w:p>
    <w:p w14:paraId="07DDCF9B" w14:textId="4D9FBC59"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wykonanie remontu parkingu Kopernika 16A: </w:t>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t xml:space="preserve">  4 420,25 zł</w:t>
      </w:r>
    </w:p>
    <w:p w14:paraId="637224FA" w14:textId="7D3D9B03"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malowanie dwóch klatek schodowych Sienkiewicza 66: </w:t>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t>20 520,00 zł</w:t>
      </w:r>
    </w:p>
    <w:p w14:paraId="2D018973" w14:textId="4DF89081"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malowanie dwóch klatek schodowych 11 Listopada 2: </w:t>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t>20 520,00 zł</w:t>
      </w:r>
    </w:p>
    <w:p w14:paraId="2F02D992" w14:textId="27FE87E5"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wymiana opraw oświetlenia ulicznego:</w:t>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00AA30C2" w:rsidRPr="00016D32">
        <w:rPr>
          <w:rFonts w:cstheme="minorHAnsi"/>
          <w:kern w:val="0"/>
          <w:sz w:val="24"/>
          <w:szCs w:val="24"/>
          <w14:ligatures w14:val="standardContextual"/>
        </w:rPr>
        <w:t xml:space="preserve"> </w:t>
      </w:r>
      <w:r w:rsidRPr="00016D32">
        <w:rPr>
          <w:rFonts w:cstheme="minorHAnsi"/>
          <w:kern w:val="0"/>
          <w:sz w:val="24"/>
          <w:szCs w:val="24"/>
          <w14:ligatures w14:val="standardContextual"/>
        </w:rPr>
        <w:t xml:space="preserve"> 6 399,99 zł</w:t>
      </w:r>
    </w:p>
    <w:p w14:paraId="1B6172E2" w14:textId="0142F0A3"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malowanie czterech klatek schodowych 11Listopada 6A: </w:t>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t>41 040,00 zł</w:t>
      </w:r>
    </w:p>
    <w:p w14:paraId="04810E77" w14:textId="4CD78AFF"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malowanie dwóch klatek schodowych Dekutowskiego 26: </w:t>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t>20 520,00 zł</w:t>
      </w:r>
    </w:p>
    <w:p w14:paraId="66148DD8" w14:textId="03FC3C5F"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malowanie dwóch klatek schodowych Dekutowskiego 26A:</w:t>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t xml:space="preserve">20 520,00 zł </w:t>
      </w:r>
    </w:p>
    <w:p w14:paraId="3D929486" w14:textId="769807CD"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malowanie dwóch klatek schodowych Kopernika 16A:</w:t>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t xml:space="preserve">20 520,00 zł </w:t>
      </w:r>
    </w:p>
    <w:p w14:paraId="3B58B897" w14:textId="44A14D35"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malowanie dwóch klatek schodowych Kopernika 16B:</w:t>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t xml:space="preserve">20 520,00 zł </w:t>
      </w:r>
    </w:p>
    <w:p w14:paraId="55AE3F83" w14:textId="147B8730"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remont mieszkania Dekutowskiego 26A/4:</w:t>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t>12 600,00 zł</w:t>
      </w:r>
    </w:p>
    <w:p w14:paraId="18C76972" w14:textId="7EA4B2EB"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remont tarasu Kopernika 23: </w:t>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t>30 652,99 zł</w:t>
      </w:r>
    </w:p>
    <w:p w14:paraId="3525009F" w14:textId="4B88E523" w:rsidR="000F264E" w:rsidRPr="00016D32" w:rsidRDefault="000F264E" w:rsidP="000F264E">
      <w:pPr>
        <w:numPr>
          <w:ilvl w:val="0"/>
          <w:numId w:val="17"/>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remont 3 balkonów ul. Św. Barbary 9B</w:t>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r>
      <w:r w:rsidRPr="00016D32">
        <w:rPr>
          <w:rFonts w:cstheme="minorHAnsi"/>
          <w:kern w:val="0"/>
          <w:sz w:val="24"/>
          <w:szCs w:val="24"/>
          <w14:ligatures w14:val="standardContextual"/>
        </w:rPr>
        <w:tab/>
        <w:t>13 176,00 zł</w:t>
      </w:r>
    </w:p>
    <w:p w14:paraId="6795B52B" w14:textId="2727413D" w:rsidR="000F264E" w:rsidRPr="00016D32" w:rsidRDefault="000F264E" w:rsidP="000F264E">
      <w:pPr>
        <w:numPr>
          <w:ilvl w:val="0"/>
          <w:numId w:val="17"/>
        </w:numPr>
        <w:spacing w:after="0" w:line="276" w:lineRule="auto"/>
        <w:contextualSpacing/>
        <w:jc w:val="both"/>
        <w:rPr>
          <w:rFonts w:cstheme="minorHAnsi"/>
          <w:b/>
          <w:bCs/>
          <w:kern w:val="0"/>
          <w:sz w:val="24"/>
          <w:szCs w:val="24"/>
          <w14:ligatures w14:val="standardContextual"/>
        </w:rPr>
      </w:pPr>
      <w:r w:rsidRPr="00016D32">
        <w:rPr>
          <w:rFonts w:cstheme="minorHAnsi"/>
          <w:b/>
          <w:bCs/>
          <w:kern w:val="0"/>
          <w:sz w:val="24"/>
          <w:szCs w:val="24"/>
          <w14:ligatures w14:val="standardContextual"/>
        </w:rPr>
        <w:t>Razem</w:t>
      </w:r>
      <w:r w:rsidRPr="00016D32">
        <w:rPr>
          <w:rFonts w:cstheme="minorHAnsi"/>
          <w:b/>
          <w:bCs/>
          <w:kern w:val="0"/>
          <w:sz w:val="24"/>
          <w:szCs w:val="24"/>
          <w14:ligatures w14:val="standardContextual"/>
        </w:rPr>
        <w:tab/>
      </w:r>
      <w:r w:rsidRPr="00016D32">
        <w:rPr>
          <w:rFonts w:cstheme="minorHAnsi"/>
          <w:b/>
          <w:bCs/>
          <w:kern w:val="0"/>
          <w:sz w:val="24"/>
          <w:szCs w:val="24"/>
          <w14:ligatures w14:val="standardContextual"/>
        </w:rPr>
        <w:tab/>
      </w:r>
      <w:r w:rsidRPr="00016D32">
        <w:rPr>
          <w:rFonts w:cstheme="minorHAnsi"/>
          <w:b/>
          <w:bCs/>
          <w:kern w:val="0"/>
          <w:sz w:val="24"/>
          <w:szCs w:val="24"/>
          <w14:ligatures w14:val="standardContextual"/>
        </w:rPr>
        <w:tab/>
      </w:r>
      <w:r w:rsidRPr="00016D32">
        <w:rPr>
          <w:rFonts w:cstheme="minorHAnsi"/>
          <w:b/>
          <w:bCs/>
          <w:kern w:val="0"/>
          <w:sz w:val="24"/>
          <w:szCs w:val="24"/>
          <w14:ligatures w14:val="standardContextual"/>
        </w:rPr>
        <w:tab/>
      </w:r>
      <w:r w:rsidRPr="00016D32">
        <w:rPr>
          <w:rFonts w:cstheme="minorHAnsi"/>
          <w:b/>
          <w:bCs/>
          <w:kern w:val="0"/>
          <w:sz w:val="24"/>
          <w:szCs w:val="24"/>
          <w14:ligatures w14:val="standardContextual"/>
        </w:rPr>
        <w:tab/>
      </w:r>
      <w:r w:rsidRPr="00016D32">
        <w:rPr>
          <w:rFonts w:cstheme="minorHAnsi"/>
          <w:b/>
          <w:bCs/>
          <w:kern w:val="0"/>
          <w:sz w:val="24"/>
          <w:szCs w:val="24"/>
          <w14:ligatures w14:val="standardContextual"/>
        </w:rPr>
        <w:tab/>
      </w:r>
      <w:r w:rsidRPr="00016D32">
        <w:rPr>
          <w:rFonts w:cstheme="minorHAnsi"/>
          <w:b/>
          <w:bCs/>
          <w:kern w:val="0"/>
          <w:sz w:val="24"/>
          <w:szCs w:val="24"/>
          <w14:ligatures w14:val="standardContextual"/>
        </w:rPr>
        <w:tab/>
      </w:r>
      <w:r w:rsidRPr="00016D32">
        <w:rPr>
          <w:rFonts w:cstheme="minorHAnsi"/>
          <w:b/>
          <w:bCs/>
          <w:kern w:val="0"/>
          <w:sz w:val="24"/>
          <w:szCs w:val="24"/>
          <w14:ligatures w14:val="standardContextual"/>
        </w:rPr>
        <w:tab/>
        <w:t xml:space="preserve">         </w:t>
      </w:r>
      <w:r w:rsidR="00AA30C2" w:rsidRPr="00016D32">
        <w:rPr>
          <w:rFonts w:cstheme="minorHAnsi"/>
          <w:b/>
          <w:bCs/>
          <w:kern w:val="0"/>
          <w:sz w:val="24"/>
          <w:szCs w:val="24"/>
          <w14:ligatures w14:val="standardContextual"/>
        </w:rPr>
        <w:tab/>
        <w:t xml:space="preserve">          </w:t>
      </w:r>
      <w:r w:rsidRPr="00016D32">
        <w:rPr>
          <w:rFonts w:cstheme="minorHAnsi"/>
          <w:b/>
          <w:bCs/>
          <w:kern w:val="0"/>
          <w:sz w:val="24"/>
          <w:szCs w:val="24"/>
          <w14:ligatures w14:val="standardContextual"/>
        </w:rPr>
        <w:t xml:space="preserve"> 300 529,23 zł</w:t>
      </w:r>
    </w:p>
    <w:p w14:paraId="0AAB1B3E" w14:textId="77777777" w:rsidR="00164D5F" w:rsidRPr="00016D32" w:rsidRDefault="00164D5F" w:rsidP="00164D5F">
      <w:pPr>
        <w:spacing w:after="0" w:line="276" w:lineRule="auto"/>
        <w:ind w:left="360"/>
        <w:contextualSpacing/>
        <w:jc w:val="both"/>
        <w:rPr>
          <w:rFonts w:cstheme="minorHAnsi"/>
          <w:b/>
          <w:bCs/>
          <w:kern w:val="0"/>
          <w:sz w:val="24"/>
          <w:szCs w:val="24"/>
          <w14:ligatures w14:val="standardContextual"/>
        </w:rPr>
      </w:pPr>
    </w:p>
    <w:p w14:paraId="711CD5C2" w14:textId="056AE30C" w:rsidR="00164D5F" w:rsidRPr="00016D32" w:rsidRDefault="000F264E" w:rsidP="000F264E">
      <w:pPr>
        <w:spacing w:after="0" w:line="276" w:lineRule="auto"/>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Drobne prace remontowe wykonywane na bieżąco na budynkach mieszkalnych oraz zaliczki na fundusz remontowy we wspólnotach wyniosły </w:t>
      </w:r>
      <w:r w:rsidR="00AA30C2" w:rsidRPr="00016D32">
        <w:rPr>
          <w:rFonts w:cstheme="minorHAnsi"/>
          <w:kern w:val="0"/>
          <w:sz w:val="24"/>
          <w:szCs w:val="24"/>
          <w14:ligatures w14:val="standardContextual"/>
        </w:rPr>
        <w:t>25 699,83</w:t>
      </w:r>
      <w:r w:rsidR="00164D5F" w:rsidRPr="00016D32">
        <w:rPr>
          <w:rFonts w:cstheme="minorHAnsi"/>
          <w:kern w:val="0"/>
          <w:sz w:val="24"/>
          <w:szCs w:val="24"/>
          <w14:ligatures w14:val="standardContextual"/>
        </w:rPr>
        <w:t xml:space="preserve"> zł. </w:t>
      </w:r>
    </w:p>
    <w:p w14:paraId="7554118D" w14:textId="72ACA33B" w:rsidR="000F264E" w:rsidRPr="00016D32" w:rsidRDefault="00164D5F" w:rsidP="000F264E">
      <w:pPr>
        <w:spacing w:after="0" w:line="276" w:lineRule="auto"/>
        <w:jc w:val="both"/>
        <w:rPr>
          <w:rFonts w:cstheme="minorHAnsi"/>
          <w:kern w:val="0"/>
          <w:sz w:val="24"/>
          <w:szCs w:val="24"/>
          <w14:ligatures w14:val="standardContextual"/>
        </w:rPr>
      </w:pPr>
      <w:r w:rsidRPr="00016D32">
        <w:rPr>
          <w:rFonts w:cstheme="minorHAnsi"/>
          <w:kern w:val="0"/>
          <w:sz w:val="24"/>
          <w:szCs w:val="24"/>
          <w14:ligatures w14:val="standardContextual"/>
        </w:rPr>
        <w:t>Należy tu zaznaczyć, że</w:t>
      </w:r>
      <w:r w:rsidR="00D8476D" w:rsidRPr="00016D32">
        <w:rPr>
          <w:rFonts w:cstheme="minorHAnsi"/>
          <w:kern w:val="0"/>
          <w:sz w:val="24"/>
          <w:szCs w:val="24"/>
          <w14:ligatures w14:val="standardContextual"/>
        </w:rPr>
        <w:t xml:space="preserve"> roczne</w:t>
      </w:r>
      <w:r w:rsidRPr="00016D32">
        <w:rPr>
          <w:rFonts w:cstheme="minorHAnsi"/>
          <w:kern w:val="0"/>
          <w:sz w:val="24"/>
          <w:szCs w:val="24"/>
          <w14:ligatures w14:val="standardContextual"/>
        </w:rPr>
        <w:t xml:space="preserve"> </w:t>
      </w:r>
      <w:r w:rsidR="00AA30C2" w:rsidRPr="00016D32">
        <w:rPr>
          <w:rFonts w:cstheme="minorHAnsi"/>
          <w:kern w:val="0"/>
          <w:sz w:val="24"/>
          <w:szCs w:val="24"/>
          <w14:ligatures w14:val="standardContextual"/>
        </w:rPr>
        <w:t>przychody z tytułu czynszów przeznaczone na pokrycie</w:t>
      </w:r>
      <w:r w:rsidRPr="00016D32">
        <w:rPr>
          <w:rFonts w:cstheme="minorHAnsi"/>
          <w:kern w:val="0"/>
          <w:sz w:val="24"/>
          <w:szCs w:val="24"/>
          <w14:ligatures w14:val="standardContextual"/>
        </w:rPr>
        <w:t xml:space="preserve"> </w:t>
      </w:r>
      <w:r w:rsidR="00D8476D" w:rsidRPr="00016D32">
        <w:rPr>
          <w:rFonts w:cstheme="minorHAnsi"/>
          <w:kern w:val="0"/>
          <w:sz w:val="24"/>
          <w:szCs w:val="24"/>
          <w14:ligatures w14:val="standardContextual"/>
        </w:rPr>
        <w:t>koszt</w:t>
      </w:r>
      <w:r w:rsidR="00AA30C2" w:rsidRPr="00016D32">
        <w:rPr>
          <w:rFonts w:cstheme="minorHAnsi"/>
          <w:kern w:val="0"/>
          <w:sz w:val="24"/>
          <w:szCs w:val="24"/>
          <w14:ligatures w14:val="standardContextual"/>
        </w:rPr>
        <w:t>ów</w:t>
      </w:r>
      <w:r w:rsidRPr="00016D32">
        <w:rPr>
          <w:rFonts w:cstheme="minorHAnsi"/>
          <w:kern w:val="0"/>
          <w:sz w:val="24"/>
          <w:szCs w:val="24"/>
          <w14:ligatures w14:val="standardContextual"/>
        </w:rPr>
        <w:t xml:space="preserve"> remont</w:t>
      </w:r>
      <w:r w:rsidR="00D8476D" w:rsidRPr="00016D32">
        <w:rPr>
          <w:rFonts w:cstheme="minorHAnsi"/>
          <w:kern w:val="0"/>
          <w:sz w:val="24"/>
          <w:szCs w:val="24"/>
          <w14:ligatures w14:val="standardContextual"/>
        </w:rPr>
        <w:t xml:space="preserve">ów </w:t>
      </w:r>
      <w:r w:rsidRPr="00016D32">
        <w:rPr>
          <w:rFonts w:cstheme="minorHAnsi"/>
          <w:kern w:val="0"/>
          <w:sz w:val="24"/>
          <w:szCs w:val="24"/>
          <w14:ligatures w14:val="standardContextual"/>
        </w:rPr>
        <w:t>jak</w:t>
      </w:r>
      <w:r w:rsidR="00D8476D" w:rsidRPr="00016D32">
        <w:rPr>
          <w:rFonts w:cstheme="minorHAnsi"/>
          <w:kern w:val="0"/>
          <w:sz w:val="24"/>
          <w:szCs w:val="24"/>
          <w14:ligatures w14:val="standardContextual"/>
        </w:rPr>
        <w:t>ie</w:t>
      </w:r>
      <w:r w:rsidRPr="00016D32">
        <w:rPr>
          <w:rFonts w:cstheme="minorHAnsi"/>
          <w:kern w:val="0"/>
          <w:sz w:val="24"/>
          <w:szCs w:val="24"/>
          <w14:ligatures w14:val="standardContextual"/>
        </w:rPr>
        <w:t xml:space="preserve"> </w:t>
      </w:r>
      <w:r w:rsidR="00D8476D" w:rsidRPr="00016D32">
        <w:rPr>
          <w:rFonts w:cstheme="minorHAnsi"/>
          <w:kern w:val="0"/>
          <w:sz w:val="24"/>
          <w:szCs w:val="24"/>
          <w14:ligatures w14:val="standardContextual"/>
        </w:rPr>
        <w:t>planuje</w:t>
      </w:r>
      <w:r w:rsidRPr="00016D32">
        <w:rPr>
          <w:rFonts w:cstheme="minorHAnsi"/>
          <w:kern w:val="0"/>
          <w:sz w:val="24"/>
          <w:szCs w:val="24"/>
          <w14:ligatures w14:val="standardContextual"/>
        </w:rPr>
        <w:t xml:space="preserve"> Spółka to  </w:t>
      </w:r>
      <w:r w:rsidR="00AA30C2" w:rsidRPr="00016D32">
        <w:rPr>
          <w:rFonts w:cstheme="minorHAnsi"/>
          <w:kern w:val="0"/>
          <w:sz w:val="24"/>
          <w:szCs w:val="24"/>
          <w14:ligatures w14:val="standardContextual"/>
        </w:rPr>
        <w:t>120 643,88 zł</w:t>
      </w:r>
    </w:p>
    <w:p w14:paraId="353253BF" w14:textId="61792135" w:rsidR="000F264E" w:rsidRPr="00016D32" w:rsidRDefault="00164D5F" w:rsidP="000F264E">
      <w:pPr>
        <w:spacing w:after="0" w:line="276" w:lineRule="auto"/>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Niestety kilkuletnie opóźnienia w realizacji prac </w:t>
      </w:r>
      <w:r w:rsidR="00440F3B" w:rsidRPr="00016D32">
        <w:rPr>
          <w:rFonts w:cstheme="minorHAnsi"/>
          <w:kern w:val="0"/>
          <w:sz w:val="24"/>
          <w:szCs w:val="24"/>
          <w14:ligatures w14:val="standardContextual"/>
        </w:rPr>
        <w:t xml:space="preserve">oraz wzrost cen energii elektrycznej wykorzystywanej głównie do podgrzewu wody </w:t>
      </w:r>
      <w:r w:rsidRPr="00016D32">
        <w:rPr>
          <w:rFonts w:cstheme="minorHAnsi"/>
          <w:kern w:val="0"/>
          <w:sz w:val="24"/>
          <w:szCs w:val="24"/>
          <w14:ligatures w14:val="standardContextual"/>
        </w:rPr>
        <w:t>wymusiły zwiększone wydatki w bieżącym roku.</w:t>
      </w:r>
    </w:p>
    <w:p w14:paraId="66C3943C" w14:textId="2551B963" w:rsidR="000F264E" w:rsidRPr="00016D32" w:rsidRDefault="000F264E" w:rsidP="000F264E">
      <w:pPr>
        <w:numPr>
          <w:ilvl w:val="0"/>
          <w:numId w:val="16"/>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lastRenderedPageBreak/>
        <w:t>Wysokie koszty obsługi kredytów inwestycyjnych – w okresie I-VI</w:t>
      </w:r>
      <w:r w:rsidR="00F15CEC" w:rsidRPr="00016D32">
        <w:rPr>
          <w:rFonts w:cstheme="minorHAnsi"/>
          <w:kern w:val="0"/>
          <w:sz w:val="24"/>
          <w:szCs w:val="24"/>
          <w14:ligatures w14:val="standardContextual"/>
        </w:rPr>
        <w:t>I</w:t>
      </w:r>
      <w:r w:rsidRPr="00016D32">
        <w:rPr>
          <w:rFonts w:cstheme="minorHAnsi"/>
          <w:kern w:val="0"/>
          <w:sz w:val="24"/>
          <w:szCs w:val="24"/>
          <w14:ligatures w14:val="standardContextual"/>
        </w:rPr>
        <w:t xml:space="preserve"> 2024 roku koszty odsetek od kredytów inwestycyjnych wyniosły </w:t>
      </w:r>
      <w:r w:rsidR="0090202B" w:rsidRPr="00016D32">
        <w:rPr>
          <w:rFonts w:cstheme="minorHAnsi"/>
          <w:kern w:val="0"/>
          <w:sz w:val="24"/>
          <w:szCs w:val="24"/>
          <w14:ligatures w14:val="standardContextual"/>
        </w:rPr>
        <w:t>286 480,28</w:t>
      </w:r>
      <w:r w:rsidRPr="00016D32">
        <w:rPr>
          <w:rFonts w:cstheme="minorHAnsi"/>
          <w:kern w:val="0"/>
          <w:sz w:val="24"/>
          <w:szCs w:val="24"/>
          <w14:ligatures w14:val="standardContextual"/>
        </w:rPr>
        <w:t xml:space="preserve"> zł </w:t>
      </w:r>
    </w:p>
    <w:p w14:paraId="781AB76E" w14:textId="754093D1" w:rsidR="000F264E" w:rsidRPr="00016D32" w:rsidRDefault="000F264E" w:rsidP="000F264E">
      <w:pPr>
        <w:numPr>
          <w:ilvl w:val="0"/>
          <w:numId w:val="16"/>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Wzrost kosztów waloryzacji kaucji i partycypacji w związku z rotacją najemców w zasobie własnym – </w:t>
      </w:r>
      <w:bookmarkStart w:id="0" w:name="_Hlk173923505"/>
      <w:r w:rsidRPr="00016D32">
        <w:rPr>
          <w:rFonts w:cstheme="minorHAnsi"/>
          <w:kern w:val="0"/>
          <w:sz w:val="24"/>
          <w:szCs w:val="24"/>
          <w14:ligatures w14:val="standardContextual"/>
        </w:rPr>
        <w:t>koszt waloryzacji w okresie I-VI</w:t>
      </w:r>
      <w:r w:rsidR="00147D9F" w:rsidRPr="00016D32">
        <w:rPr>
          <w:rFonts w:cstheme="minorHAnsi"/>
          <w:kern w:val="0"/>
          <w:sz w:val="24"/>
          <w:szCs w:val="24"/>
          <w14:ligatures w14:val="standardContextual"/>
        </w:rPr>
        <w:t>I</w:t>
      </w:r>
      <w:r w:rsidRPr="00016D32">
        <w:rPr>
          <w:rFonts w:cstheme="minorHAnsi"/>
          <w:kern w:val="0"/>
          <w:sz w:val="24"/>
          <w:szCs w:val="24"/>
          <w14:ligatures w14:val="standardContextual"/>
        </w:rPr>
        <w:t xml:space="preserve"> 2024 wyniósł 143 700,54 zł</w:t>
      </w:r>
    </w:p>
    <w:bookmarkEnd w:id="0"/>
    <w:p w14:paraId="520ED721" w14:textId="71C558A0" w:rsidR="002A7448" w:rsidRPr="00016D32" w:rsidRDefault="000F264E" w:rsidP="000F264E">
      <w:pPr>
        <w:numPr>
          <w:ilvl w:val="0"/>
          <w:numId w:val="16"/>
        </w:numPr>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Wzrost kosztów sądowych związanych toczącymi się sprawami sadowymi w których stroną jest TTBS (</w:t>
      </w:r>
      <w:r w:rsidR="000F1998" w:rsidRPr="00016D32">
        <w:rPr>
          <w:rFonts w:cstheme="minorHAnsi"/>
          <w:kern w:val="0"/>
          <w:sz w:val="24"/>
          <w:szCs w:val="24"/>
          <w14:ligatures w14:val="standardContextual"/>
        </w:rPr>
        <w:t xml:space="preserve">w tym </w:t>
      </w:r>
      <w:r w:rsidRPr="00016D32">
        <w:rPr>
          <w:rFonts w:cstheme="minorHAnsi"/>
          <w:kern w:val="0"/>
          <w:sz w:val="24"/>
          <w:szCs w:val="24"/>
          <w14:ligatures w14:val="standardContextual"/>
        </w:rPr>
        <w:t>koszty zastępstwa procesowego w sprawach z Wykonawcą i Podwykonawcą budynku Św. Barbary 9B, sprawy z najemcami o podwyżkę czynszu i opłaty nienależne) - koszty sądowe w okresie I-VI</w:t>
      </w:r>
      <w:r w:rsidR="00147D9F" w:rsidRPr="00016D32">
        <w:rPr>
          <w:rFonts w:cstheme="minorHAnsi"/>
          <w:kern w:val="0"/>
          <w:sz w:val="24"/>
          <w:szCs w:val="24"/>
          <w14:ligatures w14:val="standardContextual"/>
        </w:rPr>
        <w:t>I</w:t>
      </w:r>
      <w:r w:rsidRPr="00016D32">
        <w:rPr>
          <w:rFonts w:cstheme="minorHAnsi"/>
          <w:kern w:val="0"/>
          <w:sz w:val="24"/>
          <w:szCs w:val="24"/>
          <w14:ligatures w14:val="standardContextual"/>
        </w:rPr>
        <w:t xml:space="preserve"> 2024 wyniosły </w:t>
      </w:r>
      <w:r w:rsidR="000F1998" w:rsidRPr="00016D32">
        <w:rPr>
          <w:rFonts w:cstheme="minorHAnsi"/>
          <w:kern w:val="0"/>
          <w:sz w:val="24"/>
          <w:szCs w:val="24"/>
          <w14:ligatures w14:val="standardContextual"/>
        </w:rPr>
        <w:t>115 419,90</w:t>
      </w:r>
      <w:r w:rsidRPr="00016D32">
        <w:rPr>
          <w:rFonts w:cstheme="minorHAnsi"/>
          <w:kern w:val="0"/>
          <w:sz w:val="24"/>
          <w:szCs w:val="24"/>
          <w14:ligatures w14:val="standardContextual"/>
        </w:rPr>
        <w:t xml:space="preserve"> zł.</w:t>
      </w:r>
    </w:p>
    <w:p w14:paraId="3D6BA24F" w14:textId="1F9D3426" w:rsidR="00F8238C" w:rsidRPr="00016D32" w:rsidRDefault="00F8238C" w:rsidP="000F264E">
      <w:pPr>
        <w:numPr>
          <w:ilvl w:val="0"/>
          <w:numId w:val="16"/>
        </w:numPr>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Wypłata trzymiesięcznej odprawy dla odwołanego Prezesa Spółki</w:t>
      </w:r>
      <w:r w:rsidR="000F1998" w:rsidRPr="00016D32">
        <w:rPr>
          <w:rFonts w:cstheme="minorHAnsi"/>
          <w:kern w:val="0"/>
          <w:sz w:val="24"/>
          <w:szCs w:val="24"/>
          <w14:ligatures w14:val="standardContextual"/>
        </w:rPr>
        <w:t>.</w:t>
      </w:r>
    </w:p>
    <w:p w14:paraId="5B64EC01" w14:textId="77777777" w:rsidR="000F1998" w:rsidRPr="00016D32" w:rsidRDefault="000F1998" w:rsidP="000F1998">
      <w:pPr>
        <w:ind w:left="720"/>
        <w:contextualSpacing/>
        <w:jc w:val="both"/>
        <w:rPr>
          <w:rFonts w:cstheme="minorHAnsi"/>
          <w:kern w:val="0"/>
          <w:sz w:val="24"/>
          <w:szCs w:val="24"/>
          <w14:ligatures w14:val="standardContextual"/>
        </w:rPr>
      </w:pPr>
    </w:p>
    <w:p w14:paraId="33FBFDE8" w14:textId="563FF6C7" w:rsidR="000F264E" w:rsidRPr="00016D32" w:rsidRDefault="002A7448" w:rsidP="00440F3B">
      <w:pPr>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Koszty </w:t>
      </w:r>
      <w:r w:rsidR="000F264E" w:rsidRPr="00016D32">
        <w:rPr>
          <w:rFonts w:cstheme="minorHAnsi"/>
          <w:kern w:val="0"/>
          <w:sz w:val="24"/>
          <w:szCs w:val="24"/>
          <w14:ligatures w14:val="standardContextual"/>
        </w:rPr>
        <w:t xml:space="preserve"> </w:t>
      </w:r>
      <w:r w:rsidRPr="00016D32">
        <w:rPr>
          <w:rFonts w:cstheme="minorHAnsi"/>
          <w:kern w:val="0"/>
          <w:sz w:val="24"/>
          <w:szCs w:val="24"/>
          <w14:ligatures w14:val="standardContextual"/>
        </w:rPr>
        <w:t>sądowe ponoszone prze</w:t>
      </w:r>
      <w:r w:rsidR="000F1998" w:rsidRPr="00016D32">
        <w:rPr>
          <w:rFonts w:cstheme="minorHAnsi"/>
          <w:kern w:val="0"/>
          <w:sz w:val="24"/>
          <w:szCs w:val="24"/>
          <w14:ligatures w14:val="standardContextual"/>
        </w:rPr>
        <w:t>z</w:t>
      </w:r>
      <w:r w:rsidRPr="00016D32">
        <w:rPr>
          <w:rFonts w:cstheme="minorHAnsi"/>
          <w:kern w:val="0"/>
          <w:sz w:val="24"/>
          <w:szCs w:val="24"/>
          <w14:ligatures w14:val="standardContextual"/>
        </w:rPr>
        <w:t xml:space="preserve"> </w:t>
      </w:r>
      <w:r w:rsidR="000F1998" w:rsidRPr="00016D32">
        <w:rPr>
          <w:rFonts w:cstheme="minorHAnsi"/>
          <w:kern w:val="0"/>
          <w:sz w:val="24"/>
          <w:szCs w:val="24"/>
          <w14:ligatures w14:val="standardContextual"/>
        </w:rPr>
        <w:t>S</w:t>
      </w:r>
      <w:r w:rsidRPr="00016D32">
        <w:rPr>
          <w:rFonts w:cstheme="minorHAnsi"/>
          <w:kern w:val="0"/>
          <w:sz w:val="24"/>
          <w:szCs w:val="24"/>
          <w14:ligatures w14:val="standardContextual"/>
        </w:rPr>
        <w:t>półkę z tytułu skierowanych wobec Spółki pozwów miesz</w:t>
      </w:r>
      <w:r w:rsidR="00F8238C" w:rsidRPr="00016D32">
        <w:rPr>
          <w:rFonts w:cstheme="minorHAnsi"/>
          <w:kern w:val="0"/>
          <w:sz w:val="24"/>
          <w:szCs w:val="24"/>
          <w14:ligatures w14:val="standardContextual"/>
        </w:rPr>
        <w:t>kańców:</w:t>
      </w:r>
    </w:p>
    <w:p w14:paraId="23B40539" w14:textId="77777777" w:rsidR="00016D32" w:rsidRDefault="002A7448" w:rsidP="00440F3B">
      <w:pPr>
        <w:spacing w:after="40"/>
        <w:jc w:val="both"/>
        <w:rPr>
          <w:rFonts w:cstheme="minorHAnsi"/>
          <w:kern w:val="0"/>
          <w:sz w:val="24"/>
          <w:szCs w:val="24"/>
          <w14:ligatures w14:val="standardContextual"/>
        </w:rPr>
      </w:pPr>
      <w:r w:rsidRPr="00016D32">
        <w:rPr>
          <w:rFonts w:cstheme="minorHAnsi"/>
          <w:kern w:val="0"/>
          <w:sz w:val="24"/>
          <w:szCs w:val="24"/>
          <w14:ligatures w14:val="standardContextual"/>
        </w:rPr>
        <w:t>toczą się</w:t>
      </w:r>
      <w:r w:rsidR="000F1998" w:rsidRPr="00016D32">
        <w:rPr>
          <w:rFonts w:cstheme="minorHAnsi"/>
          <w:kern w:val="0"/>
          <w:sz w:val="24"/>
          <w:szCs w:val="24"/>
          <w14:ligatures w14:val="standardContextual"/>
        </w:rPr>
        <w:t xml:space="preserve"> w sprawach</w:t>
      </w:r>
      <w:r w:rsidR="00F15CEC" w:rsidRPr="00016D32">
        <w:rPr>
          <w:rFonts w:cstheme="minorHAnsi"/>
          <w:kern w:val="0"/>
          <w:sz w:val="24"/>
          <w:szCs w:val="24"/>
          <w14:ligatures w14:val="standardContextual"/>
        </w:rPr>
        <w:t>:</w:t>
      </w:r>
    </w:p>
    <w:p w14:paraId="57EC3BBD" w14:textId="4C3914F4" w:rsidR="00F8238C" w:rsidRPr="00016D32" w:rsidRDefault="002A7448" w:rsidP="00440F3B">
      <w:pPr>
        <w:spacing w:after="40"/>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a)  </w:t>
      </w:r>
      <w:r w:rsidRPr="00016D32">
        <w:rPr>
          <w:rFonts w:cstheme="minorHAnsi"/>
          <w:sz w:val="24"/>
          <w:szCs w:val="24"/>
        </w:rPr>
        <w:t>o ustalenie, że podwyżka czynszu  w zasobach T</w:t>
      </w:r>
      <w:r w:rsidR="000F1998" w:rsidRPr="00016D32">
        <w:rPr>
          <w:rFonts w:cstheme="minorHAnsi"/>
          <w:sz w:val="24"/>
          <w:szCs w:val="24"/>
        </w:rPr>
        <w:t>TB</w:t>
      </w:r>
      <w:r w:rsidRPr="00016D32">
        <w:rPr>
          <w:rFonts w:cstheme="minorHAnsi"/>
          <w:sz w:val="24"/>
          <w:szCs w:val="24"/>
        </w:rPr>
        <w:t>S wprowadzona od 1 lutego 2023 roku była niezasadna lub zasadna w innej wysokości</w:t>
      </w:r>
      <w:r w:rsidR="00F8238C" w:rsidRPr="00016D32">
        <w:rPr>
          <w:rFonts w:cstheme="minorHAnsi"/>
          <w:sz w:val="24"/>
          <w:szCs w:val="24"/>
        </w:rPr>
        <w:t xml:space="preserve">. </w:t>
      </w:r>
      <w:r w:rsidR="000F1998" w:rsidRPr="00016D32">
        <w:rPr>
          <w:rFonts w:cstheme="minorHAnsi"/>
          <w:sz w:val="24"/>
          <w:szCs w:val="24"/>
        </w:rPr>
        <w:t>Wpłynęło t</w:t>
      </w:r>
      <w:r w:rsidR="00F8238C" w:rsidRPr="00016D32">
        <w:rPr>
          <w:rFonts w:cstheme="minorHAnsi"/>
          <w:sz w:val="24"/>
          <w:szCs w:val="24"/>
        </w:rPr>
        <w:t xml:space="preserve">rzydzieści jeden pozwów </w:t>
      </w:r>
      <w:r w:rsidR="000F1998" w:rsidRPr="00016D32">
        <w:rPr>
          <w:rFonts w:cstheme="minorHAnsi"/>
          <w:sz w:val="24"/>
          <w:szCs w:val="24"/>
        </w:rPr>
        <w:t xml:space="preserve">o łącznej wartości przedmiotu sporu na kwotę </w:t>
      </w:r>
      <w:r w:rsidR="00F8238C" w:rsidRPr="00016D32">
        <w:rPr>
          <w:rFonts w:cstheme="minorHAnsi"/>
          <w:sz w:val="24"/>
          <w:szCs w:val="24"/>
        </w:rPr>
        <w:t>52 582,49 zł bez odsetek. Spółka dla w/w lokali nalicza przychód w pełnej wysokości wg stawki po podwyżce, tworząc jednocześnie odpis na należności sporne</w:t>
      </w:r>
      <w:r w:rsidR="001617E9" w:rsidRPr="00016D32">
        <w:rPr>
          <w:rFonts w:cstheme="minorHAnsi"/>
          <w:sz w:val="24"/>
          <w:szCs w:val="24"/>
        </w:rPr>
        <w:t>. N</w:t>
      </w:r>
      <w:r w:rsidR="00F8238C" w:rsidRPr="00016D32">
        <w:rPr>
          <w:rFonts w:cstheme="minorHAnsi"/>
          <w:sz w:val="24"/>
          <w:szCs w:val="24"/>
        </w:rPr>
        <w:t xml:space="preserve">a dzień bilansowy tj. 31 grudnia 2023 roku  odpis ten pomniejszył wynik finansowy spółki o 76 361,48 zł. Dotychczas  Spółka poniosła koszty w tych sprawach z tytułu zaliczek na opinię biegłych sądowych, pełnomocnictwa dla adwokata i kosztów </w:t>
      </w:r>
      <w:bookmarkStart w:id="1" w:name="_Hlk176780095"/>
      <w:r w:rsidR="00F8238C" w:rsidRPr="00016D32">
        <w:rPr>
          <w:rFonts w:cstheme="minorHAnsi"/>
          <w:sz w:val="24"/>
          <w:szCs w:val="24"/>
        </w:rPr>
        <w:t xml:space="preserve">zastępstwa procesowego  </w:t>
      </w:r>
      <w:bookmarkEnd w:id="1"/>
      <w:r w:rsidR="00F8238C" w:rsidRPr="00016D32">
        <w:rPr>
          <w:rFonts w:cstheme="minorHAnsi"/>
          <w:sz w:val="24"/>
          <w:szCs w:val="24"/>
        </w:rPr>
        <w:t>w kwocie 72 144,80 zł.</w:t>
      </w:r>
    </w:p>
    <w:p w14:paraId="0DE007B8" w14:textId="55A8C7A3" w:rsidR="007D5F53" w:rsidRPr="00016D32" w:rsidRDefault="002A7448" w:rsidP="00440F3B">
      <w:pPr>
        <w:jc w:val="both"/>
        <w:rPr>
          <w:rFonts w:cstheme="minorHAnsi"/>
          <w:kern w:val="0"/>
          <w:sz w:val="24"/>
          <w:szCs w:val="24"/>
          <w14:ligatures w14:val="standardContextual"/>
        </w:rPr>
      </w:pPr>
      <w:r w:rsidRPr="00016D32">
        <w:rPr>
          <w:rFonts w:cstheme="minorHAnsi"/>
          <w:sz w:val="24"/>
          <w:szCs w:val="24"/>
        </w:rPr>
        <w:t xml:space="preserve">b) </w:t>
      </w:r>
      <w:r w:rsidR="00F15CEC" w:rsidRPr="00016D32">
        <w:rPr>
          <w:rFonts w:cstheme="minorHAnsi"/>
          <w:sz w:val="24"/>
          <w:szCs w:val="24"/>
        </w:rPr>
        <w:t xml:space="preserve"> </w:t>
      </w:r>
      <w:bookmarkStart w:id="2" w:name="_Hlk176503956"/>
      <w:r w:rsidR="00F15CEC" w:rsidRPr="00016D32">
        <w:rPr>
          <w:rFonts w:cstheme="minorHAnsi"/>
          <w:sz w:val="24"/>
          <w:szCs w:val="24"/>
        </w:rPr>
        <w:t>o zwrot opłat za energię techniczną</w:t>
      </w:r>
      <w:r w:rsidR="001617E9" w:rsidRPr="00016D32">
        <w:rPr>
          <w:rFonts w:cstheme="minorHAnsi"/>
          <w:sz w:val="24"/>
          <w:szCs w:val="24"/>
        </w:rPr>
        <w:t>, windę</w:t>
      </w:r>
      <w:r w:rsidR="00F15CEC" w:rsidRPr="00016D32">
        <w:rPr>
          <w:rFonts w:cstheme="minorHAnsi"/>
          <w:sz w:val="24"/>
          <w:szCs w:val="24"/>
        </w:rPr>
        <w:t xml:space="preserve"> i domofon</w:t>
      </w:r>
      <w:r w:rsidR="00F8238C" w:rsidRPr="00016D32">
        <w:rPr>
          <w:rFonts w:cstheme="minorHAnsi"/>
          <w:sz w:val="24"/>
          <w:szCs w:val="24"/>
        </w:rPr>
        <w:t>.</w:t>
      </w:r>
      <w:r w:rsidR="00F15CEC" w:rsidRPr="00016D32">
        <w:rPr>
          <w:rFonts w:cstheme="minorHAnsi"/>
          <w:sz w:val="24"/>
          <w:szCs w:val="24"/>
        </w:rPr>
        <w:t xml:space="preserve"> </w:t>
      </w:r>
      <w:r w:rsidR="00F8238C" w:rsidRPr="00016D32">
        <w:rPr>
          <w:rFonts w:cstheme="minorHAnsi"/>
          <w:sz w:val="24"/>
          <w:szCs w:val="24"/>
        </w:rPr>
        <w:t xml:space="preserve"> 11 </w:t>
      </w:r>
      <w:r w:rsidR="001617E9" w:rsidRPr="00016D32">
        <w:rPr>
          <w:rFonts w:cstheme="minorHAnsi"/>
          <w:sz w:val="24"/>
          <w:szCs w:val="24"/>
        </w:rPr>
        <w:t>Najemców lokali TTBS</w:t>
      </w:r>
      <w:r w:rsidR="00F8238C" w:rsidRPr="00016D32">
        <w:rPr>
          <w:rFonts w:cstheme="minorHAnsi"/>
          <w:sz w:val="24"/>
          <w:szCs w:val="24"/>
        </w:rPr>
        <w:t xml:space="preserve"> skierowało swoje roszczenie o zwrot opłat pobieranych przez TTBS za energię techniczną, domofon i windę w latach 2012-2022 na kwotę łączną 158 904,73 zł (należność główna wraz z odsetkami nadzień bilansowy 31 grudnia 2023r.).  Zarząd Spółki  podjął decyzję o nie tworzeniu rezerw na przedmiotowe roszczenie za rok bilansowy 2023.  Dotychczas  Spółka poniosła koszty w tych sprawach z tytułu zaliczek na opinię biegłych sądowych  i pełnomocnictwa dla adwokata, w kwocie 12 687 zł.</w:t>
      </w:r>
      <w:r w:rsidR="001617E9" w:rsidRPr="00016D32">
        <w:rPr>
          <w:rFonts w:cstheme="minorHAnsi"/>
          <w:sz w:val="24"/>
          <w:szCs w:val="24"/>
        </w:rPr>
        <w:t xml:space="preserve">  </w:t>
      </w:r>
      <w:bookmarkEnd w:id="2"/>
    </w:p>
    <w:p w14:paraId="2B3DB8E2" w14:textId="1BF10B71" w:rsidR="000F264E" w:rsidRPr="00016D32" w:rsidRDefault="007D5F53" w:rsidP="00440F3B">
      <w:pPr>
        <w:spacing w:after="0" w:line="276" w:lineRule="auto"/>
        <w:jc w:val="both"/>
        <w:rPr>
          <w:rFonts w:cstheme="minorHAnsi"/>
          <w:kern w:val="0"/>
          <w:sz w:val="24"/>
          <w:szCs w:val="24"/>
          <w14:ligatures w14:val="standardContextual"/>
        </w:rPr>
      </w:pPr>
      <w:r w:rsidRPr="00016D32">
        <w:rPr>
          <w:rFonts w:cstheme="minorHAnsi"/>
          <w:b/>
          <w:bCs/>
          <w:kern w:val="0"/>
          <w:sz w:val="24"/>
          <w:szCs w:val="24"/>
          <w14:ligatures w14:val="standardContextual"/>
        </w:rPr>
        <w:t>I.B.</w:t>
      </w:r>
      <w:r w:rsidRPr="00016D32">
        <w:rPr>
          <w:rFonts w:cstheme="minorHAnsi"/>
          <w:kern w:val="0"/>
          <w:sz w:val="24"/>
          <w:szCs w:val="24"/>
          <w14:ligatures w14:val="standardContextual"/>
        </w:rPr>
        <w:t xml:space="preserve"> </w:t>
      </w:r>
      <w:r w:rsidR="000F264E" w:rsidRPr="00016D32">
        <w:rPr>
          <w:rFonts w:cstheme="minorHAnsi"/>
          <w:kern w:val="0"/>
          <w:sz w:val="24"/>
          <w:szCs w:val="24"/>
          <w14:ligatures w14:val="standardContextual"/>
        </w:rPr>
        <w:t>W celu utrzymania bieżącej płynności finansowej, w analizowanym okresie,  Spółka dokonała sprzedaży składników majątkowych. W okresie I-VI</w:t>
      </w:r>
      <w:r w:rsidR="00DA50AF" w:rsidRPr="00016D32">
        <w:rPr>
          <w:rFonts w:cstheme="minorHAnsi"/>
          <w:kern w:val="0"/>
          <w:sz w:val="24"/>
          <w:szCs w:val="24"/>
          <w14:ligatures w14:val="standardContextual"/>
        </w:rPr>
        <w:t>I</w:t>
      </w:r>
      <w:r w:rsidR="000F264E" w:rsidRPr="00016D32">
        <w:rPr>
          <w:rFonts w:cstheme="minorHAnsi"/>
          <w:kern w:val="0"/>
          <w:sz w:val="24"/>
          <w:szCs w:val="24"/>
          <w14:ligatures w14:val="standardContextual"/>
        </w:rPr>
        <w:t xml:space="preserve"> 2024 roku zostały sprzedane m.in.: </w:t>
      </w:r>
    </w:p>
    <w:p w14:paraId="79EA7B8F" w14:textId="77777777" w:rsidR="000F264E" w:rsidRPr="00016D32" w:rsidRDefault="000F264E" w:rsidP="00440F3B">
      <w:pPr>
        <w:numPr>
          <w:ilvl w:val="0"/>
          <w:numId w:val="18"/>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mieszkanie i garaż w budynku mieszkalnym Św. Barbary 9B</w:t>
      </w:r>
    </w:p>
    <w:p w14:paraId="33930566" w14:textId="77777777" w:rsidR="000F264E" w:rsidRPr="00016D32" w:rsidRDefault="000F264E" w:rsidP="00440F3B">
      <w:pPr>
        <w:numPr>
          <w:ilvl w:val="0"/>
          <w:numId w:val="18"/>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budynek przy ul. 11 Listopada 20A</w:t>
      </w:r>
    </w:p>
    <w:p w14:paraId="2A42FBFD" w14:textId="77777777" w:rsidR="000F264E" w:rsidRPr="00016D32" w:rsidRDefault="000F264E" w:rsidP="00440F3B">
      <w:pPr>
        <w:numPr>
          <w:ilvl w:val="0"/>
          <w:numId w:val="18"/>
        </w:numPr>
        <w:spacing w:after="0" w:line="276" w:lineRule="auto"/>
        <w:contextualSpacing/>
        <w:jc w:val="both"/>
        <w:rPr>
          <w:rFonts w:cstheme="minorHAnsi"/>
          <w:kern w:val="0"/>
          <w:sz w:val="24"/>
          <w:szCs w:val="24"/>
          <w14:ligatures w14:val="standardContextual"/>
        </w:rPr>
      </w:pPr>
      <w:r w:rsidRPr="00016D32">
        <w:rPr>
          <w:rFonts w:cstheme="minorHAnsi"/>
          <w:kern w:val="0"/>
          <w:sz w:val="24"/>
          <w:szCs w:val="24"/>
          <w14:ligatures w14:val="standardContextual"/>
        </w:rPr>
        <w:t>działki przy ul. 11 Listopada</w:t>
      </w:r>
    </w:p>
    <w:p w14:paraId="66C9DBE5" w14:textId="40083050" w:rsidR="000F264E" w:rsidRPr="00016D32" w:rsidRDefault="000F264E" w:rsidP="00440F3B">
      <w:pPr>
        <w:spacing w:after="0" w:line="276" w:lineRule="auto"/>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Środki uzyskane ze sprzedaży pozwoliły na zapłatę zobowiązań za wykonane usługi remontowe oraz utrzymanie bieżącej płynności. Spółka skorzystała również z zawieszenia rat kredytów inwestycyjnych w </w:t>
      </w:r>
      <w:r w:rsidR="00D8476D" w:rsidRPr="00016D32">
        <w:rPr>
          <w:rFonts w:cstheme="minorHAnsi"/>
          <w:kern w:val="0"/>
          <w:sz w:val="24"/>
          <w:szCs w:val="24"/>
          <w14:ligatures w14:val="standardContextual"/>
        </w:rPr>
        <w:t xml:space="preserve">miesiącu czerwcu i lipcu </w:t>
      </w:r>
      <w:r w:rsidRPr="00016D32">
        <w:rPr>
          <w:rFonts w:cstheme="minorHAnsi"/>
          <w:kern w:val="0"/>
          <w:sz w:val="24"/>
          <w:szCs w:val="24"/>
          <w14:ligatures w14:val="standardContextual"/>
        </w:rPr>
        <w:t>2024 roku</w:t>
      </w:r>
      <w:r w:rsidR="00DA50AF" w:rsidRPr="00016D32">
        <w:rPr>
          <w:rFonts w:cstheme="minorHAnsi"/>
          <w:kern w:val="0"/>
          <w:sz w:val="24"/>
          <w:szCs w:val="24"/>
          <w14:ligatures w14:val="standardContextual"/>
        </w:rPr>
        <w:t>.</w:t>
      </w:r>
    </w:p>
    <w:p w14:paraId="0FF6AF94" w14:textId="77777777" w:rsidR="007D5F53" w:rsidRPr="00016D32" w:rsidRDefault="007D5F53" w:rsidP="00440F3B">
      <w:pPr>
        <w:spacing w:after="0" w:line="276" w:lineRule="auto"/>
        <w:ind w:firstLine="708"/>
        <w:jc w:val="both"/>
        <w:rPr>
          <w:rFonts w:cstheme="minorHAnsi"/>
          <w:kern w:val="0"/>
          <w:sz w:val="24"/>
          <w:szCs w:val="24"/>
          <w14:ligatures w14:val="standardContextual"/>
        </w:rPr>
      </w:pPr>
    </w:p>
    <w:p w14:paraId="609AE722" w14:textId="3916055C" w:rsidR="007D5F53" w:rsidRPr="00016D32" w:rsidRDefault="007D5F53" w:rsidP="00440F3B">
      <w:pPr>
        <w:spacing w:after="0" w:line="276" w:lineRule="auto"/>
        <w:jc w:val="both"/>
        <w:rPr>
          <w:rFonts w:cstheme="minorHAnsi"/>
          <w:kern w:val="0"/>
          <w:sz w:val="24"/>
          <w:szCs w:val="24"/>
          <w14:ligatures w14:val="standardContextual"/>
        </w:rPr>
      </w:pPr>
      <w:r w:rsidRPr="00016D32">
        <w:rPr>
          <w:rFonts w:cstheme="minorHAnsi"/>
          <w:b/>
          <w:bCs/>
          <w:kern w:val="0"/>
          <w:sz w:val="24"/>
          <w:szCs w:val="24"/>
          <w14:ligatures w14:val="standardContextual"/>
        </w:rPr>
        <w:t>I.C.</w:t>
      </w:r>
      <w:r w:rsidRPr="00016D32">
        <w:rPr>
          <w:rFonts w:cstheme="minorHAnsi"/>
          <w:kern w:val="0"/>
          <w:sz w:val="24"/>
          <w:szCs w:val="24"/>
          <w14:ligatures w14:val="standardContextual"/>
        </w:rPr>
        <w:t xml:space="preserve"> </w:t>
      </w:r>
      <w:r w:rsidR="00DA50AF" w:rsidRPr="00016D32">
        <w:rPr>
          <w:rFonts w:cstheme="minorHAnsi"/>
          <w:kern w:val="0"/>
          <w:sz w:val="24"/>
          <w:szCs w:val="24"/>
          <w14:ligatures w14:val="standardContextual"/>
        </w:rPr>
        <w:t>Zdarzenia gospodarcze wpływające na wynik finansowy i płynność finansową Spółki</w:t>
      </w:r>
      <w:r w:rsidRPr="00016D32">
        <w:rPr>
          <w:rFonts w:cstheme="minorHAnsi"/>
          <w:kern w:val="0"/>
          <w:sz w:val="24"/>
          <w:szCs w:val="24"/>
          <w14:ligatures w14:val="standardContextual"/>
        </w:rPr>
        <w:t xml:space="preserve"> do końca 2024</w:t>
      </w:r>
      <w:r w:rsidR="00440F3B" w:rsidRPr="00016D32">
        <w:rPr>
          <w:rFonts w:cstheme="minorHAnsi"/>
          <w:kern w:val="0"/>
          <w:sz w:val="24"/>
          <w:szCs w:val="24"/>
          <w14:ligatures w14:val="standardContextual"/>
        </w:rPr>
        <w:t xml:space="preserve"> </w:t>
      </w:r>
      <w:r w:rsidRPr="00016D32">
        <w:rPr>
          <w:rFonts w:cstheme="minorHAnsi"/>
          <w:kern w:val="0"/>
          <w:sz w:val="24"/>
          <w:szCs w:val="24"/>
          <w14:ligatures w14:val="standardContextual"/>
        </w:rPr>
        <w:t xml:space="preserve">r. </w:t>
      </w:r>
      <w:r w:rsidR="00DA50AF" w:rsidRPr="00016D32">
        <w:rPr>
          <w:rFonts w:cstheme="minorHAnsi"/>
          <w:kern w:val="0"/>
          <w:sz w:val="24"/>
          <w:szCs w:val="24"/>
          <w14:ligatures w14:val="standardContextual"/>
        </w:rPr>
        <w:t>:</w:t>
      </w:r>
    </w:p>
    <w:p w14:paraId="44877F56" w14:textId="5202EDC1" w:rsidR="00DA50AF" w:rsidRPr="00016D32" w:rsidRDefault="00593BF9" w:rsidP="00440F3B">
      <w:pPr>
        <w:spacing w:after="0" w:line="276" w:lineRule="auto"/>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1. </w:t>
      </w:r>
      <w:r w:rsidR="00385D58" w:rsidRPr="00016D32">
        <w:rPr>
          <w:rFonts w:cstheme="minorHAnsi"/>
          <w:kern w:val="0"/>
          <w:sz w:val="24"/>
          <w:szCs w:val="24"/>
          <w14:ligatures w14:val="standardContextual"/>
        </w:rPr>
        <w:t>Na pogorszenie wyniku finansowego Spółki wpłynie:</w:t>
      </w:r>
    </w:p>
    <w:p w14:paraId="3646EE20" w14:textId="44E5A5CA" w:rsidR="00440F3B" w:rsidRPr="00016D32" w:rsidRDefault="00593BF9" w:rsidP="00440F3B">
      <w:pPr>
        <w:jc w:val="both"/>
        <w:rPr>
          <w:rFonts w:cstheme="minorHAnsi"/>
          <w:sz w:val="24"/>
          <w:szCs w:val="24"/>
        </w:rPr>
      </w:pPr>
      <w:r w:rsidRPr="00016D32">
        <w:rPr>
          <w:rFonts w:cstheme="minorHAnsi"/>
          <w:kern w:val="0"/>
          <w:sz w:val="24"/>
          <w:szCs w:val="24"/>
          <w14:ligatures w14:val="standardContextual"/>
        </w:rPr>
        <w:t xml:space="preserve">1) </w:t>
      </w:r>
      <w:r w:rsidR="00385D58" w:rsidRPr="00016D32">
        <w:rPr>
          <w:rFonts w:cstheme="minorHAnsi"/>
          <w:kern w:val="0"/>
          <w:sz w:val="24"/>
          <w:szCs w:val="24"/>
          <w14:ligatures w14:val="standardContextual"/>
        </w:rPr>
        <w:t xml:space="preserve">poniesienie kosztów zastępstwa procesowego </w:t>
      </w:r>
      <w:r w:rsidR="00385D58" w:rsidRPr="00016D32">
        <w:rPr>
          <w:rFonts w:cstheme="minorHAnsi"/>
          <w:sz w:val="24"/>
          <w:szCs w:val="24"/>
        </w:rPr>
        <w:t xml:space="preserve">o zwrot opłat za energię techniczną i domofon </w:t>
      </w:r>
      <w:r w:rsidR="00440F3B" w:rsidRPr="00016D32">
        <w:rPr>
          <w:rFonts w:cstheme="minorHAnsi"/>
          <w:sz w:val="24"/>
          <w:szCs w:val="24"/>
        </w:rPr>
        <w:t xml:space="preserve">     </w:t>
      </w:r>
      <w:r w:rsidR="00385D58" w:rsidRPr="00016D32">
        <w:rPr>
          <w:rFonts w:cstheme="minorHAnsi"/>
          <w:sz w:val="24"/>
          <w:szCs w:val="24"/>
        </w:rPr>
        <w:t>(11 pozwów)</w:t>
      </w:r>
      <w:r w:rsidR="00440F3B" w:rsidRPr="00016D32">
        <w:rPr>
          <w:rFonts w:cstheme="minorHAnsi"/>
          <w:sz w:val="24"/>
          <w:szCs w:val="24"/>
        </w:rPr>
        <w:t xml:space="preserve"> – koszty zgodnie z zawartą umową wynoszą</w:t>
      </w:r>
      <w:r w:rsidR="00385D58" w:rsidRPr="00016D32">
        <w:rPr>
          <w:rFonts w:cstheme="minorHAnsi"/>
          <w:sz w:val="24"/>
          <w:szCs w:val="24"/>
        </w:rPr>
        <w:t xml:space="preserve">  </w:t>
      </w:r>
      <w:r w:rsidR="0022484A" w:rsidRPr="00016D32">
        <w:rPr>
          <w:rFonts w:cstheme="minorHAnsi"/>
          <w:sz w:val="24"/>
          <w:szCs w:val="24"/>
        </w:rPr>
        <w:t xml:space="preserve">42 066,00 </w:t>
      </w:r>
      <w:r w:rsidR="00385D58" w:rsidRPr="00016D32">
        <w:rPr>
          <w:rFonts w:cstheme="minorHAnsi"/>
          <w:sz w:val="24"/>
          <w:szCs w:val="24"/>
        </w:rPr>
        <w:t>zł.</w:t>
      </w:r>
    </w:p>
    <w:p w14:paraId="28AD2B89" w14:textId="1CD85F22" w:rsidR="00385D58" w:rsidRPr="00016D32" w:rsidRDefault="00593BF9" w:rsidP="00016D32">
      <w:pPr>
        <w:pStyle w:val="Akapitzlist"/>
        <w:spacing w:after="40" w:line="240" w:lineRule="auto"/>
        <w:ind w:left="0"/>
        <w:jc w:val="both"/>
        <w:rPr>
          <w:rFonts w:cstheme="minorHAnsi"/>
          <w:sz w:val="24"/>
          <w:szCs w:val="24"/>
        </w:rPr>
      </w:pPr>
      <w:r w:rsidRPr="00016D32">
        <w:rPr>
          <w:rFonts w:cstheme="minorHAnsi"/>
          <w:sz w:val="24"/>
          <w:szCs w:val="24"/>
        </w:rPr>
        <w:t xml:space="preserve">2) </w:t>
      </w:r>
      <w:r w:rsidR="00440F3B" w:rsidRPr="00016D32">
        <w:rPr>
          <w:rFonts w:cstheme="minorHAnsi"/>
          <w:sz w:val="24"/>
          <w:szCs w:val="24"/>
        </w:rPr>
        <w:t>p</w:t>
      </w:r>
      <w:r w:rsidRPr="00016D32">
        <w:rPr>
          <w:rFonts w:cstheme="minorHAnsi"/>
          <w:sz w:val="24"/>
          <w:szCs w:val="24"/>
        </w:rPr>
        <w:t>odjęte zobowiązania na 2024 rok bez zabezpieczenia źródeł finansowania.</w:t>
      </w:r>
    </w:p>
    <w:p w14:paraId="166BF8E5" w14:textId="42257E5A" w:rsidR="00385D58" w:rsidRPr="00016D32" w:rsidRDefault="00385D58" w:rsidP="00385D58">
      <w:pPr>
        <w:spacing w:after="40" w:line="240" w:lineRule="auto"/>
        <w:ind w:firstLine="708"/>
        <w:jc w:val="both"/>
        <w:rPr>
          <w:rFonts w:cstheme="minorHAnsi"/>
          <w:sz w:val="24"/>
          <w:szCs w:val="24"/>
        </w:rPr>
      </w:pPr>
      <w:r w:rsidRPr="00016D32">
        <w:rPr>
          <w:rFonts w:cstheme="minorHAnsi"/>
          <w:sz w:val="24"/>
          <w:szCs w:val="24"/>
        </w:rPr>
        <w:t xml:space="preserve"> W dniu 12.03.2024</w:t>
      </w:r>
      <w:r w:rsidR="00440F3B" w:rsidRPr="00016D32">
        <w:rPr>
          <w:rFonts w:cstheme="minorHAnsi"/>
          <w:sz w:val="24"/>
          <w:szCs w:val="24"/>
        </w:rPr>
        <w:t xml:space="preserve"> </w:t>
      </w:r>
      <w:r w:rsidRPr="00016D32">
        <w:rPr>
          <w:rFonts w:cstheme="minorHAnsi"/>
          <w:sz w:val="24"/>
          <w:szCs w:val="24"/>
        </w:rPr>
        <w:t>rok TTBS Sp. z o.o.  zawarło z ECO Tarnobrzeg Spółka z o.o. 39-400 Tarnobrzeg, ul. Sikorskiego 4  następujące umowy:</w:t>
      </w:r>
    </w:p>
    <w:p w14:paraId="47381FAA" w14:textId="457D9617" w:rsidR="00385D58" w:rsidRPr="00016D32" w:rsidRDefault="00385D58" w:rsidP="00593BF9">
      <w:pPr>
        <w:pStyle w:val="Akapitzlist"/>
        <w:numPr>
          <w:ilvl w:val="0"/>
          <w:numId w:val="23"/>
        </w:numPr>
        <w:spacing w:after="40" w:line="240" w:lineRule="auto"/>
        <w:jc w:val="both"/>
        <w:rPr>
          <w:rFonts w:cstheme="minorHAnsi"/>
          <w:sz w:val="24"/>
          <w:szCs w:val="24"/>
        </w:rPr>
      </w:pPr>
      <w:bookmarkStart w:id="3" w:name="_Hlk171589328"/>
      <w:r w:rsidRPr="00016D32">
        <w:rPr>
          <w:rFonts w:cstheme="minorHAnsi"/>
          <w:sz w:val="24"/>
          <w:szCs w:val="24"/>
        </w:rPr>
        <w:lastRenderedPageBreak/>
        <w:t>Umowę nr 5/2024/P na wykonanie dokumentacji projektowej i budowę przyłącza ciepłowniczego  wraz z węzłem cieplnym do budynku Kopernika 16 A w Tarnobrzegu stanowiącego zasób TTBS z terminem rozpoczęcia dostawy ciepła dla potrzeb centralnego ogrzewania i ciepłej wody użytkowej od 1.07.2024.  Prace zostały przez ECO zrealizowane</w:t>
      </w:r>
      <w:r w:rsidR="00D8476D" w:rsidRPr="00016D32">
        <w:rPr>
          <w:rFonts w:cstheme="minorHAnsi"/>
          <w:sz w:val="24"/>
          <w:szCs w:val="24"/>
        </w:rPr>
        <w:br/>
      </w:r>
      <w:r w:rsidRPr="00016D32">
        <w:rPr>
          <w:rFonts w:cstheme="minorHAnsi"/>
          <w:sz w:val="24"/>
          <w:szCs w:val="24"/>
        </w:rPr>
        <w:t xml:space="preserve"> w umownym terminie do 30.06.2024r. Z uwagi na nie wykonanie przez TTBS wewnętrznych instalacji centralnego ogrzewania i centralnej ciepłej wody w dniu 28.06.2024 rok zawarto aneks Nr 1/2024 rok do w/w umowy przesuwający termin rozpoczęcia dostawy ciepła na dzień 1.10.2024r.</w:t>
      </w:r>
    </w:p>
    <w:bookmarkEnd w:id="3"/>
    <w:p w14:paraId="4F23989F" w14:textId="7DF3C0E6" w:rsidR="00385D58" w:rsidRPr="00016D32" w:rsidRDefault="00385D58" w:rsidP="00593BF9">
      <w:pPr>
        <w:pStyle w:val="Akapitzlist"/>
        <w:numPr>
          <w:ilvl w:val="0"/>
          <w:numId w:val="23"/>
        </w:numPr>
        <w:spacing w:after="40" w:line="240" w:lineRule="auto"/>
        <w:jc w:val="both"/>
        <w:rPr>
          <w:rFonts w:cstheme="minorHAnsi"/>
          <w:sz w:val="24"/>
          <w:szCs w:val="24"/>
        </w:rPr>
      </w:pPr>
      <w:r w:rsidRPr="00016D32">
        <w:rPr>
          <w:rFonts w:cstheme="minorHAnsi"/>
          <w:sz w:val="24"/>
          <w:szCs w:val="24"/>
        </w:rPr>
        <w:t xml:space="preserve">Umowę nr 6/2024/P na wykonanie dokumentacji projektowej i budowę przyłącza ciepłowniczego  wraz z węzłem cieplnym do budynku Kopernika 16 B w Tarnobrzegu stanowiącego zasób TTBS z terminem rozpoczęcia dostawy ciepła dla potrzeb centralnego ogrzewania i ciepłej wody użytkowej od 1.07.2024.  Prace zostały przez ECO zrealizowane </w:t>
      </w:r>
      <w:r w:rsidR="00D8476D" w:rsidRPr="00016D32">
        <w:rPr>
          <w:rFonts w:cstheme="minorHAnsi"/>
          <w:sz w:val="24"/>
          <w:szCs w:val="24"/>
        </w:rPr>
        <w:br/>
      </w:r>
      <w:r w:rsidRPr="00016D32">
        <w:rPr>
          <w:rFonts w:cstheme="minorHAnsi"/>
          <w:sz w:val="24"/>
          <w:szCs w:val="24"/>
        </w:rPr>
        <w:t>w umownym terminie do 30.06.2024r. Z uwagi na nie wykonanie przez TTBS wewnętrznych instalacji centralnego ogrzewania i centralnej ciepłej wody w dniu 28.06.2024 rok zawarto aneks Nr 1/2024 rok do w/w umowy przesuwający termin rozpoczęcia dostawy ciepła na dzień 1.10.2024r.</w:t>
      </w:r>
    </w:p>
    <w:p w14:paraId="23A2D9C4" w14:textId="0F4F53CF" w:rsidR="00385D58" w:rsidRPr="00016D32" w:rsidRDefault="00385D58" w:rsidP="00385D58">
      <w:pPr>
        <w:spacing w:after="40" w:line="240" w:lineRule="auto"/>
        <w:jc w:val="both"/>
        <w:rPr>
          <w:rFonts w:cstheme="minorHAnsi"/>
          <w:sz w:val="24"/>
          <w:szCs w:val="24"/>
        </w:rPr>
      </w:pPr>
      <w:r w:rsidRPr="00016D32">
        <w:rPr>
          <w:rFonts w:cstheme="minorHAnsi"/>
          <w:sz w:val="24"/>
          <w:szCs w:val="24"/>
        </w:rPr>
        <w:t>Zasadność podjętej przez Zarząd decyzji od strony technicznej  nie budzi  wątpliwości. Koszt ogrzewania i przygotowania ciepłej wody przy wykorzystaniu energii elektrycznej jest dla mieszkańców znacząco wyższy niż koszt energii cieplnej z systemu ciepłowniczego. Również koszty konserwacji i napraw elektrycznych urządzeń grzewczych jest coraz wyższy z uwagi na okres eksploatacji.</w:t>
      </w:r>
    </w:p>
    <w:p w14:paraId="54AE2A10" w14:textId="0B3C41E0" w:rsidR="00385D58" w:rsidRPr="00016D32" w:rsidRDefault="00385D58" w:rsidP="00385D58">
      <w:pPr>
        <w:spacing w:after="40" w:line="240" w:lineRule="auto"/>
        <w:jc w:val="both"/>
        <w:rPr>
          <w:rFonts w:cstheme="minorHAnsi"/>
          <w:b/>
          <w:bCs/>
          <w:sz w:val="24"/>
          <w:szCs w:val="24"/>
        </w:rPr>
      </w:pPr>
      <w:r w:rsidRPr="00016D32">
        <w:rPr>
          <w:rFonts w:cstheme="minorHAnsi"/>
          <w:b/>
          <w:bCs/>
          <w:sz w:val="24"/>
          <w:szCs w:val="24"/>
        </w:rPr>
        <w:t xml:space="preserve">NIESTETY Zarząd  nie posiadał w planie finansowym środków na realizację robót związanych </w:t>
      </w:r>
      <w:r w:rsidR="00D8476D" w:rsidRPr="00016D32">
        <w:rPr>
          <w:rFonts w:cstheme="minorHAnsi"/>
          <w:b/>
          <w:bCs/>
          <w:sz w:val="24"/>
          <w:szCs w:val="24"/>
        </w:rPr>
        <w:br/>
      </w:r>
      <w:r w:rsidRPr="00016D32">
        <w:rPr>
          <w:rFonts w:cstheme="minorHAnsi"/>
          <w:b/>
          <w:bCs/>
          <w:sz w:val="24"/>
          <w:szCs w:val="24"/>
        </w:rPr>
        <w:t xml:space="preserve">z wykonaniem wewnętrznych instalacji c.o. i </w:t>
      </w:r>
      <w:proofErr w:type="spellStart"/>
      <w:r w:rsidRPr="00016D32">
        <w:rPr>
          <w:rFonts w:cstheme="minorHAnsi"/>
          <w:b/>
          <w:bCs/>
          <w:sz w:val="24"/>
          <w:szCs w:val="24"/>
        </w:rPr>
        <w:t>c.w.u</w:t>
      </w:r>
      <w:proofErr w:type="spellEnd"/>
      <w:r w:rsidRPr="00016D32">
        <w:rPr>
          <w:rFonts w:cstheme="minorHAnsi"/>
          <w:b/>
          <w:bCs/>
          <w:sz w:val="24"/>
          <w:szCs w:val="24"/>
        </w:rPr>
        <w:t xml:space="preserve"> w 2024 roku. </w:t>
      </w:r>
    </w:p>
    <w:p w14:paraId="38908792" w14:textId="6DEEF892" w:rsidR="00385D58" w:rsidRPr="00016D32" w:rsidRDefault="00385D58" w:rsidP="00385D58">
      <w:pPr>
        <w:spacing w:after="40" w:line="240" w:lineRule="auto"/>
        <w:jc w:val="both"/>
        <w:rPr>
          <w:rFonts w:cstheme="minorHAnsi"/>
          <w:sz w:val="24"/>
          <w:szCs w:val="24"/>
        </w:rPr>
      </w:pPr>
      <w:r w:rsidRPr="00016D32">
        <w:rPr>
          <w:rFonts w:cstheme="minorHAnsi"/>
          <w:sz w:val="24"/>
          <w:szCs w:val="24"/>
        </w:rPr>
        <w:t xml:space="preserve">Na chwilę </w:t>
      </w:r>
      <w:r w:rsidR="0022484A" w:rsidRPr="00016D32">
        <w:rPr>
          <w:rFonts w:cstheme="minorHAnsi"/>
          <w:sz w:val="24"/>
          <w:szCs w:val="24"/>
        </w:rPr>
        <w:t>obecną S</w:t>
      </w:r>
      <w:r w:rsidRPr="00016D32">
        <w:rPr>
          <w:rFonts w:cstheme="minorHAnsi"/>
          <w:sz w:val="24"/>
          <w:szCs w:val="24"/>
        </w:rPr>
        <w:t>półka poniosła koszty:</w:t>
      </w:r>
    </w:p>
    <w:p w14:paraId="1BADCB20" w14:textId="5965338C" w:rsidR="00385D58" w:rsidRPr="00016D32" w:rsidRDefault="0022484A" w:rsidP="00385D58">
      <w:pPr>
        <w:pStyle w:val="Akapitzlist"/>
        <w:numPr>
          <w:ilvl w:val="0"/>
          <w:numId w:val="1"/>
        </w:numPr>
        <w:spacing w:after="40" w:line="240" w:lineRule="auto"/>
        <w:jc w:val="both"/>
        <w:rPr>
          <w:rFonts w:cstheme="minorHAnsi"/>
          <w:sz w:val="24"/>
          <w:szCs w:val="24"/>
        </w:rPr>
      </w:pPr>
      <w:r w:rsidRPr="00016D32">
        <w:rPr>
          <w:rFonts w:cstheme="minorHAnsi"/>
          <w:sz w:val="24"/>
          <w:szCs w:val="24"/>
        </w:rPr>
        <w:t>o</w:t>
      </w:r>
      <w:r w:rsidR="00385D58" w:rsidRPr="00016D32">
        <w:rPr>
          <w:rFonts w:cstheme="minorHAnsi"/>
          <w:sz w:val="24"/>
          <w:szCs w:val="24"/>
        </w:rPr>
        <w:t>płat przyłączeniowych 2 x 7</w:t>
      </w:r>
      <w:r w:rsidRPr="00016D32">
        <w:rPr>
          <w:rFonts w:cstheme="minorHAnsi"/>
          <w:sz w:val="24"/>
          <w:szCs w:val="24"/>
        </w:rPr>
        <w:t xml:space="preserve"> </w:t>
      </w:r>
      <w:r w:rsidR="00385D58" w:rsidRPr="00016D32">
        <w:rPr>
          <w:rFonts w:cstheme="minorHAnsi"/>
          <w:sz w:val="24"/>
          <w:szCs w:val="24"/>
        </w:rPr>
        <w:t>995 zł brutto łącznie 15</w:t>
      </w:r>
      <w:r w:rsidRPr="00016D32">
        <w:rPr>
          <w:rFonts w:cstheme="minorHAnsi"/>
          <w:sz w:val="24"/>
          <w:szCs w:val="24"/>
        </w:rPr>
        <w:t xml:space="preserve"> </w:t>
      </w:r>
      <w:r w:rsidR="00385D58" w:rsidRPr="00016D32">
        <w:rPr>
          <w:rFonts w:cstheme="minorHAnsi"/>
          <w:sz w:val="24"/>
          <w:szCs w:val="24"/>
        </w:rPr>
        <w:t>990 zł brutto,</w:t>
      </w:r>
    </w:p>
    <w:p w14:paraId="7556515B" w14:textId="1A777554" w:rsidR="00385D58" w:rsidRPr="00016D32" w:rsidRDefault="00385D58" w:rsidP="00385D58">
      <w:pPr>
        <w:pStyle w:val="Akapitzlist"/>
        <w:numPr>
          <w:ilvl w:val="0"/>
          <w:numId w:val="1"/>
        </w:numPr>
        <w:spacing w:after="40" w:line="240" w:lineRule="auto"/>
        <w:jc w:val="both"/>
        <w:rPr>
          <w:rFonts w:cstheme="minorHAnsi"/>
          <w:sz w:val="24"/>
          <w:szCs w:val="24"/>
        </w:rPr>
      </w:pPr>
      <w:r w:rsidRPr="00016D32">
        <w:rPr>
          <w:rFonts w:cstheme="minorHAnsi"/>
          <w:sz w:val="24"/>
          <w:szCs w:val="24"/>
        </w:rPr>
        <w:t xml:space="preserve">wykonania dokumentacji projektowej wykonania wewnętrznej instalacji c.o. i </w:t>
      </w:r>
      <w:proofErr w:type="spellStart"/>
      <w:r w:rsidRPr="00016D32">
        <w:rPr>
          <w:rFonts w:cstheme="minorHAnsi"/>
          <w:sz w:val="24"/>
          <w:szCs w:val="24"/>
        </w:rPr>
        <w:t>c.w.u</w:t>
      </w:r>
      <w:proofErr w:type="spellEnd"/>
      <w:r w:rsidRPr="00016D32">
        <w:rPr>
          <w:rFonts w:cstheme="minorHAnsi"/>
          <w:sz w:val="24"/>
          <w:szCs w:val="24"/>
        </w:rPr>
        <w:t xml:space="preserve">   </w:t>
      </w:r>
      <w:r w:rsidR="00D8476D" w:rsidRPr="00016D32">
        <w:rPr>
          <w:rFonts w:cstheme="minorHAnsi"/>
          <w:sz w:val="24"/>
          <w:szCs w:val="24"/>
        </w:rPr>
        <w:br/>
      </w:r>
      <w:r w:rsidRPr="00016D32">
        <w:rPr>
          <w:rFonts w:cstheme="minorHAnsi"/>
          <w:sz w:val="24"/>
          <w:szCs w:val="24"/>
        </w:rPr>
        <w:t>w wysokości 2 x 11</w:t>
      </w:r>
      <w:r w:rsidR="0022484A" w:rsidRPr="00016D32">
        <w:rPr>
          <w:rFonts w:cstheme="minorHAnsi"/>
          <w:sz w:val="24"/>
          <w:szCs w:val="24"/>
        </w:rPr>
        <w:t xml:space="preserve"> </w:t>
      </w:r>
      <w:r w:rsidRPr="00016D32">
        <w:rPr>
          <w:rFonts w:cstheme="minorHAnsi"/>
          <w:sz w:val="24"/>
          <w:szCs w:val="24"/>
        </w:rPr>
        <w:t>685 brutto łącznie 23 370,00 zł brutto.</w:t>
      </w:r>
    </w:p>
    <w:p w14:paraId="0B7BFBE2" w14:textId="77777777" w:rsidR="00385D58" w:rsidRPr="00016D32" w:rsidRDefault="00385D58" w:rsidP="00385D58">
      <w:pPr>
        <w:spacing w:after="40" w:line="240" w:lineRule="auto"/>
        <w:jc w:val="both"/>
        <w:rPr>
          <w:rFonts w:cstheme="minorHAnsi"/>
          <w:sz w:val="24"/>
          <w:szCs w:val="24"/>
        </w:rPr>
      </w:pPr>
      <w:r w:rsidRPr="00016D32">
        <w:rPr>
          <w:rFonts w:cstheme="minorHAnsi"/>
          <w:sz w:val="24"/>
          <w:szCs w:val="24"/>
        </w:rPr>
        <w:t>Zebrano oferty na realizację prac:</w:t>
      </w:r>
    </w:p>
    <w:p w14:paraId="2E7ACF44" w14:textId="38C85B29" w:rsidR="00385D58" w:rsidRPr="00016D32" w:rsidRDefault="0022484A" w:rsidP="00385D58">
      <w:pPr>
        <w:pStyle w:val="Akapitzlist"/>
        <w:numPr>
          <w:ilvl w:val="0"/>
          <w:numId w:val="2"/>
        </w:numPr>
        <w:spacing w:after="40" w:line="240" w:lineRule="auto"/>
        <w:jc w:val="both"/>
        <w:rPr>
          <w:rFonts w:cstheme="minorHAnsi"/>
          <w:sz w:val="24"/>
          <w:szCs w:val="24"/>
        </w:rPr>
      </w:pPr>
      <w:r w:rsidRPr="00016D32">
        <w:rPr>
          <w:rFonts w:cstheme="minorHAnsi"/>
          <w:sz w:val="24"/>
          <w:szCs w:val="24"/>
        </w:rPr>
        <w:t>w</w:t>
      </w:r>
      <w:r w:rsidR="00385D58" w:rsidRPr="00016D32">
        <w:rPr>
          <w:rFonts w:cstheme="minorHAnsi"/>
          <w:sz w:val="24"/>
          <w:szCs w:val="24"/>
        </w:rPr>
        <w:t>ykonanie wewnętrznej instalacji c.w.u</w:t>
      </w:r>
      <w:r w:rsidRPr="00016D32">
        <w:rPr>
          <w:rFonts w:cstheme="minorHAnsi"/>
          <w:sz w:val="24"/>
          <w:szCs w:val="24"/>
        </w:rPr>
        <w:t>. -</w:t>
      </w:r>
      <w:r w:rsidR="00385D58" w:rsidRPr="00016D32">
        <w:rPr>
          <w:rFonts w:cstheme="minorHAnsi"/>
          <w:sz w:val="24"/>
          <w:szCs w:val="24"/>
        </w:rPr>
        <w:t xml:space="preserve">  koszt </w:t>
      </w:r>
      <w:r w:rsidRPr="00016D32">
        <w:rPr>
          <w:rFonts w:cstheme="minorHAnsi"/>
          <w:sz w:val="24"/>
          <w:szCs w:val="24"/>
        </w:rPr>
        <w:t>łączny</w:t>
      </w:r>
      <w:r w:rsidR="00385D58" w:rsidRPr="00016D32">
        <w:rPr>
          <w:rFonts w:cstheme="minorHAnsi"/>
          <w:sz w:val="24"/>
          <w:szCs w:val="24"/>
        </w:rPr>
        <w:t xml:space="preserve"> za dwa budynki  69</w:t>
      </w:r>
      <w:r w:rsidRPr="00016D32">
        <w:rPr>
          <w:rFonts w:cstheme="minorHAnsi"/>
          <w:sz w:val="24"/>
          <w:szCs w:val="24"/>
        </w:rPr>
        <w:t xml:space="preserve"> </w:t>
      </w:r>
      <w:r w:rsidR="00385D58" w:rsidRPr="00016D32">
        <w:rPr>
          <w:rFonts w:cstheme="minorHAnsi"/>
          <w:sz w:val="24"/>
          <w:szCs w:val="24"/>
        </w:rPr>
        <w:t>120  brutto:</w:t>
      </w:r>
    </w:p>
    <w:p w14:paraId="386E2617" w14:textId="7600C329" w:rsidR="00385D58" w:rsidRPr="00016D32" w:rsidRDefault="0022484A" w:rsidP="00385D58">
      <w:pPr>
        <w:pStyle w:val="Akapitzlist"/>
        <w:numPr>
          <w:ilvl w:val="0"/>
          <w:numId w:val="2"/>
        </w:numPr>
        <w:spacing w:after="40" w:line="240" w:lineRule="auto"/>
        <w:jc w:val="both"/>
        <w:rPr>
          <w:rFonts w:cstheme="minorHAnsi"/>
          <w:sz w:val="24"/>
          <w:szCs w:val="24"/>
        </w:rPr>
      </w:pPr>
      <w:r w:rsidRPr="00016D32">
        <w:rPr>
          <w:rFonts w:cstheme="minorHAnsi"/>
          <w:sz w:val="24"/>
          <w:szCs w:val="24"/>
        </w:rPr>
        <w:t>w</w:t>
      </w:r>
      <w:r w:rsidR="00385D58" w:rsidRPr="00016D32">
        <w:rPr>
          <w:rFonts w:cstheme="minorHAnsi"/>
          <w:sz w:val="24"/>
          <w:szCs w:val="24"/>
        </w:rPr>
        <w:t xml:space="preserve">ykonanie wewnętrznej instalacji c.o. </w:t>
      </w:r>
      <w:r w:rsidRPr="00016D32">
        <w:rPr>
          <w:rFonts w:cstheme="minorHAnsi"/>
          <w:sz w:val="24"/>
          <w:szCs w:val="24"/>
        </w:rPr>
        <w:t xml:space="preserve">- </w:t>
      </w:r>
      <w:r w:rsidR="00385D58" w:rsidRPr="00016D32">
        <w:rPr>
          <w:rFonts w:cstheme="minorHAnsi"/>
          <w:sz w:val="24"/>
          <w:szCs w:val="24"/>
        </w:rPr>
        <w:t xml:space="preserve">koszt </w:t>
      </w:r>
      <w:r w:rsidRPr="00016D32">
        <w:rPr>
          <w:rFonts w:cstheme="minorHAnsi"/>
          <w:sz w:val="24"/>
          <w:szCs w:val="24"/>
        </w:rPr>
        <w:t>budynku</w:t>
      </w:r>
      <w:r w:rsidR="00385D58" w:rsidRPr="00016D32">
        <w:rPr>
          <w:rFonts w:cstheme="minorHAnsi"/>
          <w:sz w:val="24"/>
          <w:szCs w:val="24"/>
        </w:rPr>
        <w:t xml:space="preserve"> Kopernika 16A</w:t>
      </w:r>
      <w:r w:rsidRPr="00016D32">
        <w:rPr>
          <w:rFonts w:cstheme="minorHAnsi"/>
          <w:sz w:val="24"/>
          <w:szCs w:val="24"/>
        </w:rPr>
        <w:t>:</w:t>
      </w:r>
      <w:r w:rsidR="00385D58" w:rsidRPr="00016D32">
        <w:rPr>
          <w:rFonts w:cstheme="minorHAnsi"/>
          <w:sz w:val="24"/>
          <w:szCs w:val="24"/>
        </w:rPr>
        <w:t xml:space="preserve">   219</w:t>
      </w:r>
      <w:r w:rsidRPr="00016D32">
        <w:rPr>
          <w:rFonts w:cstheme="minorHAnsi"/>
          <w:sz w:val="24"/>
          <w:szCs w:val="24"/>
        </w:rPr>
        <w:t xml:space="preserve"> </w:t>
      </w:r>
      <w:r w:rsidR="00385D58" w:rsidRPr="00016D32">
        <w:rPr>
          <w:rFonts w:cstheme="minorHAnsi"/>
          <w:sz w:val="24"/>
          <w:szCs w:val="24"/>
        </w:rPr>
        <w:t>391,88</w:t>
      </w:r>
      <w:r w:rsidRPr="00016D32">
        <w:rPr>
          <w:rFonts w:cstheme="minorHAnsi"/>
          <w:sz w:val="24"/>
          <w:szCs w:val="24"/>
        </w:rPr>
        <w:t xml:space="preserve"> zł</w:t>
      </w:r>
      <w:r w:rsidR="00385D58" w:rsidRPr="00016D32">
        <w:rPr>
          <w:rFonts w:cstheme="minorHAnsi"/>
          <w:sz w:val="24"/>
          <w:szCs w:val="24"/>
        </w:rPr>
        <w:t xml:space="preserve"> brutto</w:t>
      </w:r>
      <w:r w:rsidRPr="00016D32">
        <w:rPr>
          <w:rFonts w:cstheme="minorHAnsi"/>
          <w:sz w:val="24"/>
          <w:szCs w:val="24"/>
        </w:rPr>
        <w:t>; koszt b</w:t>
      </w:r>
      <w:r w:rsidR="00385D58" w:rsidRPr="00016D32">
        <w:rPr>
          <w:rFonts w:cstheme="minorHAnsi"/>
          <w:sz w:val="24"/>
          <w:szCs w:val="24"/>
        </w:rPr>
        <w:t>udynk</w:t>
      </w:r>
      <w:r w:rsidRPr="00016D32">
        <w:rPr>
          <w:rFonts w:cstheme="minorHAnsi"/>
          <w:sz w:val="24"/>
          <w:szCs w:val="24"/>
        </w:rPr>
        <w:t>u</w:t>
      </w:r>
      <w:r w:rsidR="00385D58" w:rsidRPr="00016D32">
        <w:rPr>
          <w:rFonts w:cstheme="minorHAnsi"/>
          <w:sz w:val="24"/>
          <w:szCs w:val="24"/>
        </w:rPr>
        <w:t xml:space="preserve"> Kopernika 16B</w:t>
      </w:r>
      <w:r w:rsidRPr="00016D32">
        <w:rPr>
          <w:rFonts w:cstheme="minorHAnsi"/>
          <w:sz w:val="24"/>
          <w:szCs w:val="24"/>
        </w:rPr>
        <w:t xml:space="preserve">: </w:t>
      </w:r>
      <w:r w:rsidR="00385D58" w:rsidRPr="00016D32">
        <w:rPr>
          <w:rFonts w:cstheme="minorHAnsi"/>
          <w:sz w:val="24"/>
          <w:szCs w:val="24"/>
        </w:rPr>
        <w:t>218</w:t>
      </w:r>
      <w:r w:rsidRPr="00016D32">
        <w:rPr>
          <w:rFonts w:cstheme="minorHAnsi"/>
          <w:sz w:val="24"/>
          <w:szCs w:val="24"/>
        </w:rPr>
        <w:t xml:space="preserve"> </w:t>
      </w:r>
      <w:r w:rsidR="00385D58" w:rsidRPr="00016D32">
        <w:rPr>
          <w:rFonts w:cstheme="minorHAnsi"/>
          <w:sz w:val="24"/>
          <w:szCs w:val="24"/>
        </w:rPr>
        <w:t>892,17</w:t>
      </w:r>
      <w:r w:rsidRPr="00016D32">
        <w:rPr>
          <w:rFonts w:cstheme="minorHAnsi"/>
          <w:sz w:val="24"/>
          <w:szCs w:val="24"/>
        </w:rPr>
        <w:t xml:space="preserve"> zł</w:t>
      </w:r>
      <w:r w:rsidR="00385D58" w:rsidRPr="00016D32">
        <w:rPr>
          <w:rFonts w:cstheme="minorHAnsi"/>
          <w:sz w:val="24"/>
          <w:szCs w:val="24"/>
        </w:rPr>
        <w:t xml:space="preserve"> brutto. </w:t>
      </w:r>
      <w:r w:rsidRPr="00016D32">
        <w:rPr>
          <w:rFonts w:cstheme="minorHAnsi"/>
          <w:sz w:val="24"/>
          <w:szCs w:val="24"/>
        </w:rPr>
        <w:t>Razem</w:t>
      </w:r>
      <w:r w:rsidR="00385D58" w:rsidRPr="00016D32">
        <w:rPr>
          <w:rFonts w:cstheme="minorHAnsi"/>
          <w:sz w:val="24"/>
          <w:szCs w:val="24"/>
        </w:rPr>
        <w:t xml:space="preserve"> </w:t>
      </w:r>
      <w:r w:rsidRPr="00016D32">
        <w:rPr>
          <w:rFonts w:cstheme="minorHAnsi"/>
          <w:sz w:val="24"/>
          <w:szCs w:val="24"/>
        </w:rPr>
        <w:t xml:space="preserve">koszt </w:t>
      </w:r>
      <w:r w:rsidR="00385D58" w:rsidRPr="00016D32">
        <w:rPr>
          <w:rFonts w:cstheme="minorHAnsi"/>
          <w:sz w:val="24"/>
          <w:szCs w:val="24"/>
        </w:rPr>
        <w:t>instalacj</w:t>
      </w:r>
      <w:r w:rsidRPr="00016D32">
        <w:rPr>
          <w:rFonts w:cstheme="minorHAnsi"/>
          <w:sz w:val="24"/>
          <w:szCs w:val="24"/>
        </w:rPr>
        <w:t>i</w:t>
      </w:r>
      <w:r w:rsidR="00385D58" w:rsidRPr="00016D32">
        <w:rPr>
          <w:rFonts w:cstheme="minorHAnsi"/>
          <w:sz w:val="24"/>
          <w:szCs w:val="24"/>
        </w:rPr>
        <w:t xml:space="preserve"> c.o. na 2 budynki</w:t>
      </w:r>
      <w:r w:rsidRPr="00016D32">
        <w:rPr>
          <w:rFonts w:cstheme="minorHAnsi"/>
          <w:sz w:val="24"/>
          <w:szCs w:val="24"/>
        </w:rPr>
        <w:t xml:space="preserve"> wynosi</w:t>
      </w:r>
      <w:r w:rsidR="00385D58" w:rsidRPr="00016D32">
        <w:rPr>
          <w:rFonts w:cstheme="minorHAnsi"/>
          <w:sz w:val="24"/>
          <w:szCs w:val="24"/>
        </w:rPr>
        <w:t xml:space="preserve"> 438 284,05 zł.</w:t>
      </w:r>
    </w:p>
    <w:p w14:paraId="74B817A5" w14:textId="0D5ACDCF" w:rsidR="00385D58" w:rsidRPr="00016D32" w:rsidRDefault="00385D58" w:rsidP="00385D58">
      <w:pPr>
        <w:spacing w:after="40" w:line="240" w:lineRule="auto"/>
        <w:jc w:val="both"/>
        <w:rPr>
          <w:rFonts w:cstheme="minorHAnsi"/>
          <w:b/>
          <w:bCs/>
          <w:sz w:val="24"/>
          <w:szCs w:val="24"/>
        </w:rPr>
      </w:pPr>
      <w:r w:rsidRPr="00016D32">
        <w:rPr>
          <w:rFonts w:cstheme="minorHAnsi"/>
          <w:b/>
          <w:bCs/>
          <w:sz w:val="24"/>
          <w:szCs w:val="24"/>
        </w:rPr>
        <w:t>ŁĄCZNIE wykonanie wew</w:t>
      </w:r>
      <w:r w:rsidR="0022484A" w:rsidRPr="00016D32">
        <w:rPr>
          <w:rFonts w:cstheme="minorHAnsi"/>
          <w:b/>
          <w:bCs/>
          <w:sz w:val="24"/>
          <w:szCs w:val="24"/>
        </w:rPr>
        <w:t>nętrznej</w:t>
      </w:r>
      <w:r w:rsidRPr="00016D32">
        <w:rPr>
          <w:rFonts w:cstheme="minorHAnsi"/>
          <w:b/>
          <w:bCs/>
          <w:sz w:val="24"/>
          <w:szCs w:val="24"/>
        </w:rPr>
        <w:t xml:space="preserve"> </w:t>
      </w:r>
      <w:r w:rsidR="0022484A" w:rsidRPr="00016D32">
        <w:rPr>
          <w:rFonts w:cstheme="minorHAnsi"/>
          <w:b/>
          <w:bCs/>
          <w:sz w:val="24"/>
          <w:szCs w:val="24"/>
        </w:rPr>
        <w:t>i</w:t>
      </w:r>
      <w:r w:rsidRPr="00016D32">
        <w:rPr>
          <w:rFonts w:cstheme="minorHAnsi"/>
          <w:b/>
          <w:bCs/>
          <w:sz w:val="24"/>
          <w:szCs w:val="24"/>
        </w:rPr>
        <w:t>nstalacji c.w.u. i c.o.  546 764,05 zł brutto.</w:t>
      </w:r>
    </w:p>
    <w:p w14:paraId="5570063B" w14:textId="77777777" w:rsidR="00385D58" w:rsidRPr="00016D32" w:rsidRDefault="00385D58" w:rsidP="00440F3B">
      <w:pPr>
        <w:spacing w:after="40" w:line="240" w:lineRule="auto"/>
        <w:jc w:val="both"/>
        <w:rPr>
          <w:rFonts w:cstheme="minorHAnsi"/>
          <w:b/>
          <w:bCs/>
          <w:sz w:val="24"/>
          <w:szCs w:val="24"/>
        </w:rPr>
      </w:pPr>
      <w:r w:rsidRPr="00016D32">
        <w:rPr>
          <w:rFonts w:cstheme="minorHAnsi"/>
          <w:b/>
          <w:bCs/>
          <w:sz w:val="24"/>
          <w:szCs w:val="24"/>
        </w:rPr>
        <w:t>Z uwagi na zapisy kar umownym niezbędne jest zrealizowanie prac.</w:t>
      </w:r>
    </w:p>
    <w:p w14:paraId="78056E5C" w14:textId="425D4EF9" w:rsidR="003441ED" w:rsidRPr="00016D32" w:rsidRDefault="003441ED" w:rsidP="00440F3B">
      <w:pPr>
        <w:spacing w:line="256" w:lineRule="auto"/>
        <w:jc w:val="both"/>
        <w:rPr>
          <w:rFonts w:cstheme="minorHAnsi"/>
          <w:sz w:val="24"/>
          <w:szCs w:val="24"/>
        </w:rPr>
      </w:pPr>
      <w:r w:rsidRPr="00016D32">
        <w:rPr>
          <w:rFonts w:cstheme="minorHAnsi"/>
          <w:sz w:val="24"/>
          <w:szCs w:val="24"/>
        </w:rPr>
        <w:t xml:space="preserve">Mimo trudnej sytuacji finansowej Zarząd TTBS podjął decyzje o wykonaniu do końca września instalacji centralnej wody użytkowej w tych budynkach w celu rozpoczęcia realizacji zobowiązania umownego. Koszt prac </w:t>
      </w:r>
      <w:r w:rsidR="0022484A" w:rsidRPr="00016D32">
        <w:rPr>
          <w:rFonts w:cstheme="minorHAnsi"/>
          <w:sz w:val="24"/>
          <w:szCs w:val="24"/>
        </w:rPr>
        <w:t xml:space="preserve">w 2024 roku </w:t>
      </w:r>
      <w:r w:rsidRPr="00016D32">
        <w:rPr>
          <w:rFonts w:cstheme="minorHAnsi"/>
          <w:sz w:val="24"/>
          <w:szCs w:val="24"/>
        </w:rPr>
        <w:t>wyniesie 69</w:t>
      </w:r>
      <w:r w:rsidR="0022484A" w:rsidRPr="00016D32">
        <w:rPr>
          <w:rFonts w:cstheme="minorHAnsi"/>
          <w:sz w:val="24"/>
          <w:szCs w:val="24"/>
        </w:rPr>
        <w:t xml:space="preserve"> </w:t>
      </w:r>
      <w:r w:rsidRPr="00016D32">
        <w:rPr>
          <w:rFonts w:cstheme="minorHAnsi"/>
          <w:sz w:val="24"/>
          <w:szCs w:val="24"/>
        </w:rPr>
        <w:t xml:space="preserve">120 brutto. </w:t>
      </w:r>
    </w:p>
    <w:p w14:paraId="7A5CF76A" w14:textId="33C6647C" w:rsidR="00440F3B" w:rsidRPr="00016D32" w:rsidRDefault="003441ED" w:rsidP="00440F3B">
      <w:pPr>
        <w:jc w:val="both"/>
        <w:rPr>
          <w:rFonts w:cstheme="minorHAnsi"/>
          <w:sz w:val="24"/>
          <w:szCs w:val="24"/>
        </w:rPr>
      </w:pPr>
      <w:r w:rsidRPr="00016D32">
        <w:rPr>
          <w:rFonts w:cstheme="minorHAnsi"/>
          <w:sz w:val="24"/>
          <w:szCs w:val="24"/>
        </w:rPr>
        <w:t>Jednocześnie Zarząd podjął rozmowy z ECO Tarnobrzeg o prze</w:t>
      </w:r>
      <w:r w:rsidR="000804CB" w:rsidRPr="00016D32">
        <w:rPr>
          <w:rFonts w:cstheme="minorHAnsi"/>
          <w:sz w:val="24"/>
          <w:szCs w:val="24"/>
        </w:rPr>
        <w:t>sunięci</w:t>
      </w:r>
      <w:r w:rsidR="0022484A" w:rsidRPr="00016D32">
        <w:rPr>
          <w:rFonts w:cstheme="minorHAnsi"/>
          <w:sz w:val="24"/>
          <w:szCs w:val="24"/>
        </w:rPr>
        <w:t>u</w:t>
      </w:r>
      <w:r w:rsidRPr="00016D32">
        <w:rPr>
          <w:rFonts w:cstheme="minorHAnsi"/>
          <w:sz w:val="24"/>
          <w:szCs w:val="24"/>
        </w:rPr>
        <w:t xml:space="preserve"> realizacji zobowiązania umownego w zakresie odbioru ciepła dla potrzeb centralnego ogrzewania dla tych budynków do końca września 2025r.</w:t>
      </w:r>
    </w:p>
    <w:p w14:paraId="5A724A24" w14:textId="2B72FF2E" w:rsidR="007D5F53" w:rsidRPr="00016D32" w:rsidRDefault="00593BF9" w:rsidP="00593BF9">
      <w:pPr>
        <w:spacing w:after="0" w:line="276" w:lineRule="auto"/>
        <w:jc w:val="both"/>
        <w:rPr>
          <w:rFonts w:cstheme="minorHAnsi"/>
          <w:kern w:val="0"/>
          <w:sz w:val="24"/>
          <w:szCs w:val="24"/>
          <w14:ligatures w14:val="standardContextual"/>
        </w:rPr>
      </w:pPr>
      <w:r w:rsidRPr="00016D32">
        <w:rPr>
          <w:rFonts w:cstheme="minorHAnsi"/>
          <w:kern w:val="0"/>
          <w:sz w:val="24"/>
          <w:szCs w:val="24"/>
          <w14:ligatures w14:val="standardContextual"/>
        </w:rPr>
        <w:t xml:space="preserve">2. </w:t>
      </w:r>
      <w:r w:rsidR="003441ED" w:rsidRPr="00016D32">
        <w:rPr>
          <w:rFonts w:cstheme="minorHAnsi"/>
          <w:kern w:val="0"/>
          <w:sz w:val="24"/>
          <w:szCs w:val="24"/>
          <w14:ligatures w14:val="standardContextual"/>
        </w:rPr>
        <w:t xml:space="preserve">Na poprawę </w:t>
      </w:r>
      <w:r w:rsidR="000804CB" w:rsidRPr="00016D32">
        <w:rPr>
          <w:rFonts w:cstheme="minorHAnsi"/>
          <w:kern w:val="0"/>
          <w:sz w:val="24"/>
          <w:szCs w:val="24"/>
          <w14:ligatures w14:val="standardContextual"/>
        </w:rPr>
        <w:t xml:space="preserve">bieżącej </w:t>
      </w:r>
      <w:r w:rsidR="003441ED" w:rsidRPr="00016D32">
        <w:rPr>
          <w:rFonts w:cstheme="minorHAnsi"/>
          <w:kern w:val="0"/>
          <w:sz w:val="24"/>
          <w:szCs w:val="24"/>
          <w14:ligatures w14:val="standardContextual"/>
        </w:rPr>
        <w:t>płynności finansowej Spółki może wpłynąć sprzedaż lokali.</w:t>
      </w:r>
    </w:p>
    <w:p w14:paraId="4ADC7269" w14:textId="77777777" w:rsidR="00440F3B" w:rsidRPr="00016D32" w:rsidRDefault="003441ED" w:rsidP="00440F3B">
      <w:pPr>
        <w:jc w:val="both"/>
        <w:rPr>
          <w:rFonts w:cstheme="minorHAnsi"/>
          <w:sz w:val="24"/>
          <w:szCs w:val="24"/>
        </w:rPr>
      </w:pPr>
      <w:r w:rsidRPr="00016D32">
        <w:rPr>
          <w:rFonts w:cstheme="minorHAnsi"/>
          <w:sz w:val="24"/>
          <w:szCs w:val="24"/>
        </w:rPr>
        <w:t xml:space="preserve">W połowie sierpnia  </w:t>
      </w:r>
      <w:r w:rsidR="0022484A" w:rsidRPr="00016D32">
        <w:rPr>
          <w:rFonts w:cstheme="minorHAnsi"/>
          <w:sz w:val="24"/>
          <w:szCs w:val="24"/>
        </w:rPr>
        <w:t>2024 r</w:t>
      </w:r>
      <w:r w:rsidR="00440F3B" w:rsidRPr="00016D32">
        <w:rPr>
          <w:rFonts w:cstheme="minorHAnsi"/>
          <w:sz w:val="24"/>
          <w:szCs w:val="24"/>
        </w:rPr>
        <w:t>.</w:t>
      </w:r>
      <w:r w:rsidR="0022484A" w:rsidRPr="00016D32">
        <w:rPr>
          <w:rFonts w:cstheme="minorHAnsi"/>
          <w:sz w:val="24"/>
          <w:szCs w:val="24"/>
        </w:rPr>
        <w:t xml:space="preserve"> </w:t>
      </w:r>
      <w:r w:rsidRPr="00016D32">
        <w:rPr>
          <w:rFonts w:cstheme="minorHAnsi"/>
          <w:sz w:val="24"/>
          <w:szCs w:val="24"/>
        </w:rPr>
        <w:t>Zarząd  skierował wstępną propozycję  sprzedaży lokali mieszkalnych i garażowych do najemców lokali w budynku Św. Barbary 9B.</w:t>
      </w:r>
      <w:r w:rsidR="0022484A" w:rsidRPr="00016D32">
        <w:rPr>
          <w:rFonts w:cstheme="minorHAnsi"/>
          <w:sz w:val="24"/>
          <w:szCs w:val="24"/>
        </w:rPr>
        <w:t xml:space="preserve"> </w:t>
      </w:r>
      <w:r w:rsidRPr="00016D32">
        <w:rPr>
          <w:rFonts w:cstheme="minorHAnsi"/>
          <w:sz w:val="24"/>
          <w:szCs w:val="24"/>
        </w:rPr>
        <w:t>Jest to kontynuacja sprzedaży</w:t>
      </w:r>
      <w:r w:rsidR="0022484A" w:rsidRPr="00016D32">
        <w:rPr>
          <w:rFonts w:cstheme="minorHAnsi"/>
          <w:sz w:val="24"/>
          <w:szCs w:val="24"/>
        </w:rPr>
        <w:t xml:space="preserve"> rozpoczętej w latach ubiegłych</w:t>
      </w:r>
      <w:r w:rsidRPr="00016D32">
        <w:rPr>
          <w:rFonts w:cstheme="minorHAnsi"/>
          <w:sz w:val="24"/>
          <w:szCs w:val="24"/>
        </w:rPr>
        <w:t>. W budynku tym zostało sprzedanych 9 lokali mieszkalnych i 2 boksy  garażowe.</w:t>
      </w:r>
      <w:r w:rsidR="00B50DD4" w:rsidRPr="00016D32">
        <w:rPr>
          <w:rFonts w:cstheme="minorHAnsi"/>
          <w:sz w:val="24"/>
          <w:szCs w:val="24"/>
        </w:rPr>
        <w:t xml:space="preserve"> Na chwilę obecną zgłosiło się dwóch potencjalnych nabywców na </w:t>
      </w:r>
      <w:r w:rsidR="00D8476D" w:rsidRPr="00016D32">
        <w:rPr>
          <w:rFonts w:cstheme="minorHAnsi"/>
          <w:sz w:val="24"/>
          <w:szCs w:val="24"/>
        </w:rPr>
        <w:t xml:space="preserve">wynajmowane </w:t>
      </w:r>
      <w:r w:rsidR="00B50DD4" w:rsidRPr="00016D32">
        <w:rPr>
          <w:rFonts w:cstheme="minorHAnsi"/>
          <w:sz w:val="24"/>
          <w:szCs w:val="24"/>
        </w:rPr>
        <w:t xml:space="preserve"> przez </w:t>
      </w:r>
      <w:r w:rsidR="00B50DD4" w:rsidRPr="00016D32">
        <w:rPr>
          <w:rFonts w:cstheme="minorHAnsi"/>
          <w:sz w:val="24"/>
          <w:szCs w:val="24"/>
        </w:rPr>
        <w:lastRenderedPageBreak/>
        <w:t>nich lokale mieszkalne i 1 boks garażowy. Wstępne środki ze sprzedaży lokali po odjęciu partycypacji i kaucji wyniosłyby ok. 600 tys. zł.</w:t>
      </w:r>
    </w:p>
    <w:p w14:paraId="35224688" w14:textId="5F80E2D3" w:rsidR="007D5F53" w:rsidRPr="00016D32" w:rsidRDefault="00B50DD4" w:rsidP="00440F3B">
      <w:pPr>
        <w:pStyle w:val="Akapitzlist"/>
        <w:numPr>
          <w:ilvl w:val="0"/>
          <w:numId w:val="34"/>
        </w:numPr>
        <w:ind w:left="284" w:hanging="284"/>
        <w:jc w:val="both"/>
        <w:rPr>
          <w:rFonts w:cstheme="minorHAnsi"/>
          <w:sz w:val="24"/>
          <w:szCs w:val="24"/>
        </w:rPr>
      </w:pPr>
      <w:r w:rsidRPr="00016D32">
        <w:rPr>
          <w:rFonts w:cstheme="minorHAnsi"/>
          <w:sz w:val="24"/>
          <w:szCs w:val="24"/>
        </w:rPr>
        <w:t>Spółka skorzysta w miesiącu wrześniu i październiku z możliwego zawieszania w spłacie kredytów zaciągniętych w BGK na budowę lokali</w:t>
      </w:r>
      <w:r w:rsidR="00CA6AF1" w:rsidRPr="00016D32">
        <w:rPr>
          <w:rFonts w:cstheme="minorHAnsi"/>
          <w:sz w:val="24"/>
          <w:szCs w:val="24"/>
        </w:rPr>
        <w:t xml:space="preserve">, co </w:t>
      </w:r>
      <w:r w:rsidR="00440F3B" w:rsidRPr="00016D32">
        <w:rPr>
          <w:rFonts w:cstheme="minorHAnsi"/>
          <w:sz w:val="24"/>
          <w:szCs w:val="24"/>
        </w:rPr>
        <w:t xml:space="preserve">zmniejszy wydatki na spłatę rat kapitałowo-odsetkowych o </w:t>
      </w:r>
      <w:r w:rsidR="00016D32" w:rsidRPr="00016D32">
        <w:rPr>
          <w:rFonts w:cstheme="minorHAnsi"/>
          <w:sz w:val="24"/>
          <w:szCs w:val="24"/>
        </w:rPr>
        <w:t xml:space="preserve">ok. 185 700 zł i </w:t>
      </w:r>
      <w:r w:rsidRPr="00016D32">
        <w:rPr>
          <w:rFonts w:cstheme="minorHAnsi"/>
          <w:sz w:val="24"/>
          <w:szCs w:val="24"/>
        </w:rPr>
        <w:t>obniży koszty Spółki</w:t>
      </w:r>
      <w:r w:rsidR="00CA6AF1" w:rsidRPr="00016D32">
        <w:rPr>
          <w:rFonts w:cstheme="minorHAnsi"/>
          <w:sz w:val="24"/>
          <w:szCs w:val="24"/>
        </w:rPr>
        <w:t xml:space="preserve"> z tytułu odsetek</w:t>
      </w:r>
      <w:r w:rsidRPr="00016D32">
        <w:rPr>
          <w:rFonts w:cstheme="minorHAnsi"/>
          <w:sz w:val="24"/>
          <w:szCs w:val="24"/>
        </w:rPr>
        <w:t xml:space="preserve"> o </w:t>
      </w:r>
      <w:r w:rsidR="00CA6AF1" w:rsidRPr="00016D32">
        <w:rPr>
          <w:rFonts w:cstheme="minorHAnsi"/>
          <w:sz w:val="24"/>
          <w:szCs w:val="24"/>
        </w:rPr>
        <w:t>ok. 39 600  zł.</w:t>
      </w:r>
    </w:p>
    <w:p w14:paraId="7EF8AEDD" w14:textId="6E8A8F7E" w:rsidR="007D5F53" w:rsidRPr="00016D32" w:rsidRDefault="00593BF9" w:rsidP="00440F3B">
      <w:pPr>
        <w:spacing w:after="40" w:line="240" w:lineRule="auto"/>
        <w:jc w:val="both"/>
        <w:rPr>
          <w:rFonts w:cstheme="minorHAnsi"/>
          <w:sz w:val="24"/>
          <w:szCs w:val="24"/>
        </w:rPr>
      </w:pPr>
      <w:r w:rsidRPr="00016D32">
        <w:rPr>
          <w:rFonts w:cstheme="minorHAnsi"/>
          <w:b/>
          <w:bCs/>
          <w:sz w:val="24"/>
          <w:szCs w:val="24"/>
        </w:rPr>
        <w:t xml:space="preserve">I.D. </w:t>
      </w:r>
      <w:r w:rsidR="007D5F53" w:rsidRPr="00016D32">
        <w:rPr>
          <w:rFonts w:cstheme="minorHAnsi"/>
          <w:sz w:val="24"/>
          <w:szCs w:val="24"/>
        </w:rPr>
        <w:t>Przyczyny obniżenia przychodów Firmy w 2024</w:t>
      </w:r>
      <w:r w:rsidR="00016D32" w:rsidRPr="00016D32">
        <w:rPr>
          <w:rFonts w:cstheme="minorHAnsi"/>
          <w:sz w:val="24"/>
          <w:szCs w:val="24"/>
        </w:rPr>
        <w:t xml:space="preserve"> </w:t>
      </w:r>
      <w:r w:rsidR="007D5F53" w:rsidRPr="00016D32">
        <w:rPr>
          <w:rFonts w:cstheme="minorHAnsi"/>
          <w:sz w:val="24"/>
          <w:szCs w:val="24"/>
        </w:rPr>
        <w:t xml:space="preserve">r. </w:t>
      </w:r>
    </w:p>
    <w:p w14:paraId="25593DDC" w14:textId="54AFC29E" w:rsidR="007D5F53" w:rsidRPr="00016D32" w:rsidRDefault="007D5F53" w:rsidP="00440F3B">
      <w:pPr>
        <w:pStyle w:val="Akapitzlist"/>
        <w:numPr>
          <w:ilvl w:val="0"/>
          <w:numId w:val="13"/>
        </w:numPr>
        <w:spacing w:after="40" w:line="240" w:lineRule="auto"/>
        <w:ind w:left="284" w:hanging="284"/>
        <w:jc w:val="both"/>
        <w:rPr>
          <w:rFonts w:cstheme="minorHAnsi"/>
          <w:sz w:val="24"/>
          <w:szCs w:val="24"/>
        </w:rPr>
      </w:pPr>
      <w:r w:rsidRPr="00016D32">
        <w:rPr>
          <w:rFonts w:cstheme="minorHAnsi"/>
          <w:sz w:val="24"/>
          <w:szCs w:val="24"/>
        </w:rPr>
        <w:t xml:space="preserve">Obniżenie oferty na przetarg na realizacje usług zarządzania zasobem nieruchomości </w:t>
      </w:r>
      <w:r w:rsidR="00CA6AF1" w:rsidRPr="00016D32">
        <w:rPr>
          <w:rFonts w:cstheme="minorHAnsi"/>
          <w:sz w:val="24"/>
          <w:szCs w:val="24"/>
        </w:rPr>
        <w:t>M</w:t>
      </w:r>
      <w:r w:rsidRPr="00016D32">
        <w:rPr>
          <w:rFonts w:cstheme="minorHAnsi"/>
          <w:sz w:val="24"/>
          <w:szCs w:val="24"/>
        </w:rPr>
        <w:t>iasta. Obecna umowa obowiązuje do 20 listopada 2024</w:t>
      </w:r>
      <w:r w:rsidR="00016D32" w:rsidRPr="00016D32">
        <w:rPr>
          <w:rFonts w:cstheme="minorHAnsi"/>
          <w:sz w:val="24"/>
          <w:szCs w:val="24"/>
        </w:rPr>
        <w:t xml:space="preserve"> </w:t>
      </w:r>
      <w:r w:rsidRPr="00016D32">
        <w:rPr>
          <w:rFonts w:cstheme="minorHAnsi"/>
          <w:sz w:val="24"/>
          <w:szCs w:val="24"/>
        </w:rPr>
        <w:t>r.</w:t>
      </w:r>
    </w:p>
    <w:p w14:paraId="6BA6F836" w14:textId="75CA0C53" w:rsidR="007D5F53" w:rsidRPr="00016D32" w:rsidRDefault="007D5F53" w:rsidP="00440F3B">
      <w:pPr>
        <w:pStyle w:val="Akapitzlist"/>
        <w:spacing w:after="40" w:line="240" w:lineRule="auto"/>
        <w:ind w:left="284"/>
        <w:jc w:val="both"/>
        <w:rPr>
          <w:rFonts w:cstheme="minorHAnsi"/>
          <w:sz w:val="24"/>
          <w:szCs w:val="24"/>
        </w:rPr>
      </w:pPr>
      <w:r w:rsidRPr="00016D32">
        <w:rPr>
          <w:rFonts w:cstheme="minorHAnsi"/>
          <w:sz w:val="24"/>
          <w:szCs w:val="24"/>
        </w:rPr>
        <w:t>Z uwagi na zamiar przejęcia usług zarządzania zasobem nieruchomości Miasta Tarnobrzega przez konkurencyjną firmę Spółka T</w:t>
      </w:r>
      <w:r w:rsidR="00CA6AF1" w:rsidRPr="00016D32">
        <w:rPr>
          <w:rFonts w:cstheme="minorHAnsi"/>
          <w:sz w:val="24"/>
          <w:szCs w:val="24"/>
        </w:rPr>
        <w:t>T</w:t>
      </w:r>
      <w:r w:rsidRPr="00016D32">
        <w:rPr>
          <w:rFonts w:cstheme="minorHAnsi"/>
          <w:sz w:val="24"/>
          <w:szCs w:val="24"/>
        </w:rPr>
        <w:t>BS radykalnie obniżył</w:t>
      </w:r>
      <w:r w:rsidR="00CA6AF1" w:rsidRPr="00016D32">
        <w:rPr>
          <w:rFonts w:cstheme="minorHAnsi"/>
          <w:sz w:val="24"/>
          <w:szCs w:val="24"/>
        </w:rPr>
        <w:t>a</w:t>
      </w:r>
      <w:r w:rsidRPr="00016D32">
        <w:rPr>
          <w:rFonts w:cstheme="minorHAnsi"/>
          <w:sz w:val="24"/>
          <w:szCs w:val="24"/>
        </w:rPr>
        <w:t xml:space="preserve"> ofertę na realizację przedmiotowej usługi</w:t>
      </w:r>
      <w:r w:rsidR="00D8476D" w:rsidRPr="00016D32">
        <w:rPr>
          <w:rFonts w:cstheme="minorHAnsi"/>
          <w:sz w:val="24"/>
          <w:szCs w:val="24"/>
        </w:rPr>
        <w:br/>
      </w:r>
      <w:r w:rsidRPr="00016D32">
        <w:rPr>
          <w:rFonts w:cstheme="minorHAnsi"/>
          <w:sz w:val="24"/>
          <w:szCs w:val="24"/>
        </w:rPr>
        <w:t xml:space="preserve">w 2024 roku. Obniżono ofertę netto </w:t>
      </w:r>
      <w:r w:rsidR="00CA6AF1" w:rsidRPr="00016D32">
        <w:rPr>
          <w:rFonts w:cstheme="minorHAnsi"/>
          <w:sz w:val="24"/>
          <w:szCs w:val="24"/>
        </w:rPr>
        <w:t>o</w:t>
      </w:r>
      <w:r w:rsidRPr="00016D32">
        <w:rPr>
          <w:rFonts w:cstheme="minorHAnsi"/>
          <w:sz w:val="24"/>
          <w:szCs w:val="24"/>
        </w:rPr>
        <w:t xml:space="preserve"> 235 616,88 zł tj</w:t>
      </w:r>
      <w:r w:rsidR="00CA6AF1" w:rsidRPr="00016D32">
        <w:rPr>
          <w:rFonts w:cstheme="minorHAnsi"/>
          <w:sz w:val="24"/>
          <w:szCs w:val="24"/>
        </w:rPr>
        <w:t>.</w:t>
      </w:r>
      <w:r w:rsidRPr="00016D32">
        <w:rPr>
          <w:rFonts w:cstheme="minorHAnsi"/>
          <w:sz w:val="24"/>
          <w:szCs w:val="24"/>
        </w:rPr>
        <w:t xml:space="preserve"> o 25,5% </w:t>
      </w:r>
      <w:r w:rsidR="00CA6AF1" w:rsidRPr="00016D32">
        <w:rPr>
          <w:rFonts w:cstheme="minorHAnsi"/>
          <w:sz w:val="24"/>
          <w:szCs w:val="24"/>
        </w:rPr>
        <w:t>i o</w:t>
      </w:r>
      <w:r w:rsidRPr="00016D32">
        <w:rPr>
          <w:rFonts w:cstheme="minorHAnsi"/>
          <w:sz w:val="24"/>
          <w:szCs w:val="24"/>
        </w:rPr>
        <w:t xml:space="preserve"> tyle zmniejszył się przychód firmy z tytułu realizacji niniejszej umowy.</w:t>
      </w:r>
    </w:p>
    <w:p w14:paraId="7F8D20E8" w14:textId="77777777" w:rsidR="007D5F53" w:rsidRPr="00016D32" w:rsidRDefault="007D5F53" w:rsidP="00440F3B">
      <w:pPr>
        <w:pStyle w:val="Akapitzlist"/>
        <w:numPr>
          <w:ilvl w:val="0"/>
          <w:numId w:val="13"/>
        </w:numPr>
        <w:spacing w:after="40" w:line="240" w:lineRule="auto"/>
        <w:ind w:left="284" w:hanging="284"/>
        <w:jc w:val="both"/>
        <w:rPr>
          <w:rStyle w:val="Pogrubienie"/>
          <w:rFonts w:cstheme="minorHAnsi"/>
          <w:b w:val="0"/>
          <w:bCs w:val="0"/>
          <w:sz w:val="24"/>
          <w:szCs w:val="24"/>
        </w:rPr>
      </w:pPr>
      <w:r w:rsidRPr="00016D32">
        <w:rPr>
          <w:rFonts w:cstheme="minorHAnsi"/>
          <w:sz w:val="24"/>
          <w:szCs w:val="24"/>
        </w:rPr>
        <w:t xml:space="preserve">Brak złożenia oferty w postepowaniu na  </w:t>
      </w:r>
      <w:r w:rsidRPr="00016D32">
        <w:rPr>
          <w:rStyle w:val="Pogrubienie"/>
          <w:rFonts w:cstheme="minorHAnsi"/>
          <w:b w:val="0"/>
          <w:bCs w:val="0"/>
          <w:sz w:val="24"/>
          <w:szCs w:val="24"/>
          <w:bdr w:val="none" w:sz="0" w:space="0" w:color="auto" w:frame="1"/>
        </w:rPr>
        <w:t>Administrowanie nieruchomościami, utrzymanie czystości i pielęgnacja terenów nad Jeziorem Tarnobrzeskim wchodzących w skład zasobu nieruchomości Miasta Tarnobrzega wraz z wykonywaniem sezonowych prac. Wartość kontraktu opiewała na  ponad 800 000 zł.</w:t>
      </w:r>
    </w:p>
    <w:p w14:paraId="643456B2" w14:textId="77777777" w:rsidR="007D5F53" w:rsidRPr="00016D32" w:rsidRDefault="007D5F53" w:rsidP="00440F3B">
      <w:pPr>
        <w:pStyle w:val="Akapitzlist"/>
        <w:numPr>
          <w:ilvl w:val="0"/>
          <w:numId w:val="13"/>
        </w:numPr>
        <w:spacing w:after="40" w:line="240" w:lineRule="auto"/>
        <w:ind w:left="284" w:hanging="284"/>
        <w:jc w:val="both"/>
        <w:rPr>
          <w:rFonts w:cstheme="minorHAnsi"/>
          <w:sz w:val="24"/>
          <w:szCs w:val="24"/>
        </w:rPr>
      </w:pPr>
      <w:r w:rsidRPr="00016D32">
        <w:rPr>
          <w:rStyle w:val="Pogrubienie"/>
          <w:rFonts w:cstheme="minorHAnsi"/>
          <w:b w:val="0"/>
          <w:bCs w:val="0"/>
          <w:sz w:val="24"/>
          <w:szCs w:val="24"/>
          <w:bdr w:val="none" w:sz="0" w:space="0" w:color="auto" w:frame="1"/>
        </w:rPr>
        <w:t>Niedoszacowanie kosztów  do wysokości stawek eksploatacyjnych.</w:t>
      </w:r>
    </w:p>
    <w:p w14:paraId="46F6827B" w14:textId="77777777" w:rsidR="007D5F53" w:rsidRPr="00016D32" w:rsidRDefault="007D5F53" w:rsidP="000F264E">
      <w:pPr>
        <w:spacing w:after="0" w:line="276" w:lineRule="auto"/>
        <w:jc w:val="both"/>
        <w:rPr>
          <w:rFonts w:cstheme="minorHAnsi"/>
          <w:kern w:val="0"/>
          <w:sz w:val="24"/>
          <w:szCs w:val="24"/>
          <w14:ligatures w14:val="standardContextual"/>
        </w:rPr>
      </w:pPr>
    </w:p>
    <w:p w14:paraId="7BA5FE98" w14:textId="2A7A8A4E" w:rsidR="000804CB" w:rsidRPr="00016D32" w:rsidRDefault="000804CB" w:rsidP="000804CB">
      <w:pPr>
        <w:pStyle w:val="Akapitzlist"/>
        <w:spacing w:after="40" w:line="240" w:lineRule="auto"/>
        <w:ind w:left="0"/>
        <w:jc w:val="both"/>
        <w:rPr>
          <w:rFonts w:cstheme="minorHAnsi"/>
          <w:b/>
          <w:bCs/>
          <w:sz w:val="24"/>
          <w:szCs w:val="24"/>
        </w:rPr>
      </w:pPr>
      <w:r w:rsidRPr="00016D32">
        <w:rPr>
          <w:rFonts w:cstheme="minorHAnsi"/>
          <w:b/>
          <w:bCs/>
          <w:sz w:val="24"/>
          <w:szCs w:val="24"/>
        </w:rPr>
        <w:t>II.</w:t>
      </w:r>
      <w:r w:rsidR="00CA6AF1" w:rsidRPr="00016D32">
        <w:rPr>
          <w:rFonts w:cstheme="minorHAnsi"/>
          <w:b/>
          <w:bCs/>
          <w:sz w:val="24"/>
          <w:szCs w:val="24"/>
        </w:rPr>
        <w:t xml:space="preserve"> </w:t>
      </w:r>
      <w:r w:rsidRPr="00016D32">
        <w:rPr>
          <w:rFonts w:cstheme="minorHAnsi"/>
          <w:b/>
          <w:bCs/>
          <w:sz w:val="24"/>
          <w:szCs w:val="24"/>
        </w:rPr>
        <w:t>Możliwość wypowiedzenia umów kredytowych przez BGK</w:t>
      </w:r>
    </w:p>
    <w:p w14:paraId="2A24F658" w14:textId="77777777" w:rsidR="000804CB" w:rsidRPr="00016D32" w:rsidRDefault="000804CB" w:rsidP="000804CB">
      <w:pPr>
        <w:pStyle w:val="Akapitzlist"/>
        <w:spacing w:after="40" w:line="240" w:lineRule="auto"/>
        <w:ind w:left="0"/>
        <w:jc w:val="both"/>
        <w:rPr>
          <w:rFonts w:cstheme="minorHAnsi"/>
          <w:sz w:val="24"/>
          <w:szCs w:val="24"/>
        </w:rPr>
      </w:pPr>
    </w:p>
    <w:p w14:paraId="670B61D0" w14:textId="5C77DB49" w:rsidR="000804CB" w:rsidRPr="00016D32" w:rsidRDefault="000804CB" w:rsidP="000804CB">
      <w:pPr>
        <w:pStyle w:val="Akapitzlist"/>
        <w:spacing w:after="40" w:line="240" w:lineRule="auto"/>
        <w:ind w:left="0"/>
        <w:jc w:val="both"/>
        <w:rPr>
          <w:rFonts w:cstheme="minorHAnsi"/>
          <w:sz w:val="24"/>
          <w:szCs w:val="24"/>
        </w:rPr>
      </w:pPr>
      <w:r w:rsidRPr="00016D32">
        <w:rPr>
          <w:rFonts w:cstheme="minorHAnsi"/>
          <w:sz w:val="24"/>
          <w:szCs w:val="24"/>
        </w:rPr>
        <w:t>W dniu 25 czerwca 2024r. wpłynęło do TTBS Sp. z o.</w:t>
      </w:r>
      <w:r w:rsidR="00CA6AF1" w:rsidRPr="00016D32">
        <w:rPr>
          <w:rFonts w:cstheme="minorHAnsi"/>
          <w:sz w:val="24"/>
          <w:szCs w:val="24"/>
        </w:rPr>
        <w:t xml:space="preserve"> </w:t>
      </w:r>
      <w:r w:rsidRPr="00016D32">
        <w:rPr>
          <w:rFonts w:cstheme="minorHAnsi"/>
          <w:sz w:val="24"/>
          <w:szCs w:val="24"/>
        </w:rPr>
        <w:t>o</w:t>
      </w:r>
      <w:r w:rsidR="00CA6AF1" w:rsidRPr="00016D32">
        <w:rPr>
          <w:rFonts w:cstheme="minorHAnsi"/>
          <w:sz w:val="24"/>
          <w:szCs w:val="24"/>
        </w:rPr>
        <w:t>.</w:t>
      </w:r>
      <w:r w:rsidRPr="00016D32">
        <w:rPr>
          <w:rFonts w:cstheme="minorHAnsi"/>
          <w:sz w:val="24"/>
          <w:szCs w:val="24"/>
        </w:rPr>
        <w:t xml:space="preserve">  pismo z Departamentu Kredytowych Programów Mieszkaniowych</w:t>
      </w:r>
      <w:r w:rsidR="00CA6AF1" w:rsidRPr="00016D32">
        <w:rPr>
          <w:rFonts w:cstheme="minorHAnsi"/>
          <w:sz w:val="24"/>
          <w:szCs w:val="24"/>
        </w:rPr>
        <w:t xml:space="preserve"> banku BGK</w:t>
      </w:r>
      <w:r w:rsidRPr="00016D32">
        <w:rPr>
          <w:rFonts w:cstheme="minorHAnsi"/>
          <w:sz w:val="24"/>
          <w:szCs w:val="24"/>
        </w:rPr>
        <w:t>, które było konsekwencją przeprowadzonej przez przedmiotowy departament rocznej oceny TTBS Sp</w:t>
      </w:r>
      <w:r w:rsidR="00CA6AF1" w:rsidRPr="00016D32">
        <w:rPr>
          <w:rFonts w:cstheme="minorHAnsi"/>
          <w:sz w:val="24"/>
          <w:szCs w:val="24"/>
        </w:rPr>
        <w:t>.</w:t>
      </w:r>
      <w:r w:rsidRPr="00016D32">
        <w:rPr>
          <w:rFonts w:cstheme="minorHAnsi"/>
          <w:sz w:val="24"/>
          <w:szCs w:val="24"/>
        </w:rPr>
        <w:t xml:space="preserve"> z o.o.  W piśmie tym Departament zobowiązuje TTBS Sp. z o.o. do podjęcia działań skutkujących wzrostem przychodów do poziomu pokrywającego koszty eksploatacji zasobu własnego. Pismo w załączeniu.</w:t>
      </w:r>
    </w:p>
    <w:p w14:paraId="3AB44C38" w14:textId="77777777" w:rsidR="000804CB" w:rsidRPr="00016D32" w:rsidRDefault="000804CB" w:rsidP="000804CB">
      <w:pPr>
        <w:pStyle w:val="Akapitzlist"/>
        <w:spacing w:after="40" w:line="240" w:lineRule="auto"/>
        <w:ind w:left="0"/>
        <w:jc w:val="both"/>
        <w:rPr>
          <w:rFonts w:cstheme="minorHAnsi"/>
          <w:sz w:val="24"/>
          <w:szCs w:val="24"/>
        </w:rPr>
      </w:pPr>
      <w:r w:rsidRPr="00016D32">
        <w:rPr>
          <w:rFonts w:cstheme="minorHAnsi"/>
          <w:sz w:val="24"/>
          <w:szCs w:val="24"/>
        </w:rPr>
        <w:t>Z przeprowadzonej analizy przy obecnej wysokości stawek uwzględnionych w stawce czynszowej na spłatę kredytów w BGK obecnie występuje  niedoszacowanie</w:t>
      </w:r>
      <w:bookmarkStart w:id="4" w:name="_Hlk172093343"/>
      <w:r w:rsidRPr="00016D32">
        <w:rPr>
          <w:rFonts w:cstheme="minorHAnsi"/>
          <w:sz w:val="24"/>
          <w:szCs w:val="24"/>
        </w:rPr>
        <w:t xml:space="preserve"> na poziomie kilkudziesięciu tysięcy złotych. </w:t>
      </w:r>
      <w:bookmarkEnd w:id="4"/>
      <w:r w:rsidRPr="00016D32">
        <w:rPr>
          <w:rFonts w:cstheme="minorHAnsi"/>
          <w:sz w:val="24"/>
          <w:szCs w:val="24"/>
        </w:rPr>
        <w:t>Należy założyć, że w 2025 roku bez podniesienia stawek czynszu najmu niedoszacowanie  wyniosłoby ok. – 136 189,17 zł.</w:t>
      </w:r>
    </w:p>
    <w:p w14:paraId="31DCCA26" w14:textId="6347BFB1" w:rsidR="000804CB" w:rsidRPr="00016D32" w:rsidRDefault="000804CB" w:rsidP="000804CB">
      <w:pPr>
        <w:pStyle w:val="Akapitzlist"/>
        <w:spacing w:after="40" w:line="240" w:lineRule="auto"/>
        <w:ind w:left="0"/>
        <w:jc w:val="both"/>
        <w:rPr>
          <w:rFonts w:cstheme="minorHAnsi"/>
          <w:sz w:val="24"/>
          <w:szCs w:val="24"/>
        </w:rPr>
      </w:pPr>
      <w:r w:rsidRPr="00016D32">
        <w:rPr>
          <w:rFonts w:cstheme="minorHAnsi"/>
          <w:sz w:val="24"/>
          <w:szCs w:val="24"/>
        </w:rPr>
        <w:t>Dla kredytu komercyjnego zaciągniętego w Banku Spółdzielczym na budowę budynku Św. Barbary 9B niedoszacowanie  obecnie wyn</w:t>
      </w:r>
      <w:r w:rsidR="00CA6AF1" w:rsidRPr="00016D32">
        <w:rPr>
          <w:rFonts w:cstheme="minorHAnsi"/>
          <w:sz w:val="24"/>
          <w:szCs w:val="24"/>
        </w:rPr>
        <w:t>osi</w:t>
      </w:r>
      <w:r w:rsidRPr="00016D32">
        <w:rPr>
          <w:rFonts w:cstheme="minorHAnsi"/>
          <w:sz w:val="24"/>
          <w:szCs w:val="24"/>
        </w:rPr>
        <w:t xml:space="preserve">  ok. -115 755,81 zł i taki stan będzie się utrzymywał w 2025</w:t>
      </w:r>
      <w:r w:rsidR="00016D32" w:rsidRPr="00016D32">
        <w:rPr>
          <w:rFonts w:cstheme="minorHAnsi"/>
          <w:sz w:val="24"/>
          <w:szCs w:val="24"/>
        </w:rPr>
        <w:t xml:space="preserve"> </w:t>
      </w:r>
      <w:r w:rsidRPr="00016D32">
        <w:rPr>
          <w:rFonts w:cstheme="minorHAnsi"/>
          <w:sz w:val="24"/>
          <w:szCs w:val="24"/>
        </w:rPr>
        <w:t>r.</w:t>
      </w:r>
    </w:p>
    <w:p w14:paraId="7E43EA6B" w14:textId="77777777" w:rsidR="000804CB" w:rsidRPr="00016D32" w:rsidRDefault="000804CB" w:rsidP="000804CB">
      <w:pPr>
        <w:pStyle w:val="Akapitzlist"/>
        <w:spacing w:after="40" w:line="240" w:lineRule="auto"/>
        <w:ind w:left="0"/>
        <w:jc w:val="both"/>
        <w:rPr>
          <w:rFonts w:cstheme="minorHAnsi"/>
          <w:sz w:val="24"/>
          <w:szCs w:val="24"/>
        </w:rPr>
      </w:pPr>
      <w:r w:rsidRPr="00016D32">
        <w:rPr>
          <w:rFonts w:cstheme="minorHAnsi"/>
          <w:sz w:val="24"/>
          <w:szCs w:val="24"/>
        </w:rPr>
        <w:t>Koniecznym jest dostosowanie kwot na spłatę zaciągniętych kredytów w stawkach  czynszowych do wysokości obciążeń od 1 stycznia 2025r.</w:t>
      </w:r>
    </w:p>
    <w:p w14:paraId="358E05D3" w14:textId="77777777" w:rsidR="00AE6168" w:rsidRPr="00016D32" w:rsidRDefault="00AE6168" w:rsidP="00887032">
      <w:pPr>
        <w:spacing w:after="40" w:line="240" w:lineRule="auto"/>
        <w:jc w:val="both"/>
        <w:rPr>
          <w:rFonts w:cstheme="minorHAnsi"/>
          <w:sz w:val="24"/>
          <w:szCs w:val="24"/>
        </w:rPr>
      </w:pPr>
      <w:bookmarkStart w:id="5" w:name="_Hlk171603889"/>
    </w:p>
    <w:p w14:paraId="24823DA8" w14:textId="519AE46B" w:rsidR="00AE6168" w:rsidRPr="00016D32" w:rsidRDefault="001F2782" w:rsidP="00887032">
      <w:pPr>
        <w:spacing w:after="40" w:line="240" w:lineRule="auto"/>
        <w:jc w:val="both"/>
        <w:rPr>
          <w:rFonts w:cstheme="minorHAnsi"/>
          <w:b/>
          <w:bCs/>
          <w:sz w:val="24"/>
          <w:szCs w:val="24"/>
        </w:rPr>
      </w:pPr>
      <w:r w:rsidRPr="00016D32">
        <w:rPr>
          <w:rFonts w:cstheme="minorHAnsi"/>
          <w:b/>
          <w:bCs/>
          <w:sz w:val="24"/>
          <w:szCs w:val="24"/>
        </w:rPr>
        <w:t>I</w:t>
      </w:r>
      <w:r w:rsidR="00561D65" w:rsidRPr="00016D32">
        <w:rPr>
          <w:rFonts w:cstheme="minorHAnsi"/>
          <w:b/>
          <w:bCs/>
          <w:sz w:val="24"/>
          <w:szCs w:val="24"/>
        </w:rPr>
        <w:t>I</w:t>
      </w:r>
      <w:r w:rsidRPr="00016D32">
        <w:rPr>
          <w:rFonts w:cstheme="minorHAnsi"/>
          <w:b/>
          <w:bCs/>
          <w:sz w:val="24"/>
          <w:szCs w:val="24"/>
        </w:rPr>
        <w:t>I</w:t>
      </w:r>
      <w:r w:rsidR="00C0728C" w:rsidRPr="00016D32">
        <w:rPr>
          <w:rFonts w:cstheme="minorHAnsi"/>
          <w:b/>
          <w:bCs/>
          <w:sz w:val="24"/>
          <w:szCs w:val="24"/>
        </w:rPr>
        <w:t xml:space="preserve">. </w:t>
      </w:r>
      <w:r w:rsidR="00282B03" w:rsidRPr="00016D32">
        <w:rPr>
          <w:rFonts w:cstheme="minorHAnsi"/>
          <w:b/>
          <w:bCs/>
          <w:sz w:val="24"/>
          <w:szCs w:val="24"/>
        </w:rPr>
        <w:t xml:space="preserve"> Sp</w:t>
      </w:r>
      <w:r w:rsidR="00D8476D" w:rsidRPr="00016D32">
        <w:rPr>
          <w:rFonts w:cstheme="minorHAnsi"/>
          <w:b/>
          <w:bCs/>
          <w:sz w:val="24"/>
          <w:szCs w:val="24"/>
        </w:rPr>
        <w:t>r</w:t>
      </w:r>
      <w:r w:rsidR="00282B03" w:rsidRPr="00016D32">
        <w:rPr>
          <w:rFonts w:cstheme="minorHAnsi"/>
          <w:b/>
          <w:bCs/>
          <w:sz w:val="24"/>
          <w:szCs w:val="24"/>
        </w:rPr>
        <w:t xml:space="preserve">awy sądowe </w:t>
      </w:r>
      <w:r w:rsidR="006967C7" w:rsidRPr="00016D32">
        <w:rPr>
          <w:rFonts w:cstheme="minorHAnsi"/>
          <w:b/>
          <w:bCs/>
          <w:sz w:val="24"/>
          <w:szCs w:val="24"/>
        </w:rPr>
        <w:t xml:space="preserve"> - </w:t>
      </w:r>
      <w:r w:rsidR="00AE6168" w:rsidRPr="00016D32">
        <w:rPr>
          <w:rFonts w:cstheme="minorHAnsi"/>
          <w:b/>
          <w:bCs/>
          <w:sz w:val="24"/>
          <w:szCs w:val="24"/>
        </w:rPr>
        <w:t>Inwestycja Św. Barbary 9B</w:t>
      </w:r>
    </w:p>
    <w:p w14:paraId="338423E2" w14:textId="77777777" w:rsidR="00AE6168" w:rsidRPr="00016D32" w:rsidRDefault="00AE6168" w:rsidP="00887032">
      <w:pPr>
        <w:spacing w:after="40" w:line="240" w:lineRule="auto"/>
        <w:jc w:val="both"/>
        <w:rPr>
          <w:rFonts w:cstheme="minorHAnsi"/>
          <w:sz w:val="24"/>
          <w:szCs w:val="24"/>
        </w:rPr>
      </w:pPr>
    </w:p>
    <w:p w14:paraId="6F616460" w14:textId="46CA19CC" w:rsidR="00AF4847" w:rsidRPr="00016D32" w:rsidRDefault="00AF4847" w:rsidP="000804CB">
      <w:pPr>
        <w:spacing w:after="40" w:line="240" w:lineRule="auto"/>
        <w:jc w:val="both"/>
        <w:rPr>
          <w:rFonts w:cstheme="minorHAnsi"/>
          <w:sz w:val="24"/>
          <w:szCs w:val="24"/>
        </w:rPr>
      </w:pPr>
      <w:r w:rsidRPr="00016D32">
        <w:rPr>
          <w:rFonts w:cstheme="minorHAnsi"/>
          <w:sz w:val="24"/>
          <w:szCs w:val="24"/>
        </w:rPr>
        <w:t xml:space="preserve">Inwestycja Św. Barbary 9B jest i będzie nadal dużym obciążeniem  dla </w:t>
      </w:r>
      <w:r w:rsidR="006967C7" w:rsidRPr="00016D32">
        <w:rPr>
          <w:rFonts w:cstheme="minorHAnsi"/>
          <w:sz w:val="24"/>
          <w:szCs w:val="24"/>
        </w:rPr>
        <w:t>S</w:t>
      </w:r>
      <w:r w:rsidRPr="00016D32">
        <w:rPr>
          <w:rFonts w:cstheme="minorHAnsi"/>
          <w:sz w:val="24"/>
          <w:szCs w:val="24"/>
        </w:rPr>
        <w:t>półki, bezpośrednio zagrażającym jej funkcjonowaniu w przyszłości</w:t>
      </w:r>
      <w:r w:rsidR="00C0728C" w:rsidRPr="00016D32">
        <w:rPr>
          <w:rFonts w:cstheme="minorHAnsi"/>
          <w:sz w:val="24"/>
          <w:szCs w:val="24"/>
        </w:rPr>
        <w:t>.</w:t>
      </w:r>
    </w:p>
    <w:p w14:paraId="0F9B7206" w14:textId="7547644E" w:rsidR="00CF67B1" w:rsidRPr="00016D32" w:rsidRDefault="00CF67B1" w:rsidP="00282B03">
      <w:pPr>
        <w:spacing w:after="40" w:line="240" w:lineRule="auto"/>
        <w:jc w:val="both"/>
        <w:rPr>
          <w:rFonts w:cstheme="minorHAnsi"/>
          <w:b/>
          <w:bCs/>
          <w:sz w:val="24"/>
          <w:szCs w:val="24"/>
        </w:rPr>
      </w:pPr>
    </w:p>
    <w:p w14:paraId="4A178E9F" w14:textId="30F47B3B" w:rsidR="00C0728C" w:rsidRPr="00016D32" w:rsidRDefault="00282B03" w:rsidP="00887032">
      <w:pPr>
        <w:spacing w:after="40" w:line="240" w:lineRule="auto"/>
        <w:jc w:val="both"/>
        <w:rPr>
          <w:rFonts w:cstheme="minorHAnsi"/>
          <w:sz w:val="24"/>
          <w:szCs w:val="24"/>
        </w:rPr>
      </w:pPr>
      <w:r w:rsidRPr="00016D32">
        <w:rPr>
          <w:rFonts w:cstheme="minorHAnsi"/>
          <w:sz w:val="24"/>
          <w:szCs w:val="24"/>
        </w:rPr>
        <w:t xml:space="preserve">Sprawy sądowe </w:t>
      </w:r>
      <w:r w:rsidR="00AF4847" w:rsidRPr="00016D32">
        <w:rPr>
          <w:rFonts w:cstheme="minorHAnsi"/>
          <w:sz w:val="24"/>
          <w:szCs w:val="24"/>
        </w:rPr>
        <w:t xml:space="preserve"> </w:t>
      </w:r>
      <w:r w:rsidRPr="00016D32">
        <w:rPr>
          <w:rFonts w:cstheme="minorHAnsi"/>
          <w:sz w:val="24"/>
          <w:szCs w:val="24"/>
        </w:rPr>
        <w:t xml:space="preserve">związane z inwestycją Św. Barbary 9B prowadzone są w imieniu </w:t>
      </w:r>
      <w:r w:rsidR="006967C7" w:rsidRPr="00016D32">
        <w:rPr>
          <w:rFonts w:cstheme="minorHAnsi"/>
          <w:sz w:val="24"/>
          <w:szCs w:val="24"/>
        </w:rPr>
        <w:t>S</w:t>
      </w:r>
      <w:r w:rsidRPr="00016D32">
        <w:rPr>
          <w:rFonts w:cstheme="minorHAnsi"/>
          <w:sz w:val="24"/>
          <w:szCs w:val="24"/>
        </w:rPr>
        <w:t>półki przez Kancelari</w:t>
      </w:r>
      <w:r w:rsidR="006967C7" w:rsidRPr="00016D32">
        <w:rPr>
          <w:rFonts w:cstheme="minorHAnsi"/>
          <w:sz w:val="24"/>
          <w:szCs w:val="24"/>
        </w:rPr>
        <w:t>ę</w:t>
      </w:r>
      <w:r w:rsidRPr="00016D32">
        <w:rPr>
          <w:rFonts w:cstheme="minorHAnsi"/>
          <w:sz w:val="24"/>
          <w:szCs w:val="24"/>
        </w:rPr>
        <w:t xml:space="preserve"> Adwokack</w:t>
      </w:r>
      <w:r w:rsidR="00D8476D" w:rsidRPr="00016D32">
        <w:rPr>
          <w:rFonts w:cstheme="minorHAnsi"/>
          <w:sz w:val="24"/>
          <w:szCs w:val="24"/>
        </w:rPr>
        <w:t>ą</w:t>
      </w:r>
      <w:r w:rsidRPr="00016D32">
        <w:rPr>
          <w:rFonts w:cstheme="minorHAnsi"/>
          <w:sz w:val="24"/>
          <w:szCs w:val="24"/>
        </w:rPr>
        <w:t xml:space="preserve"> </w:t>
      </w:r>
      <w:r w:rsidR="00AF4847" w:rsidRPr="00016D32">
        <w:rPr>
          <w:rFonts w:cstheme="minorHAnsi"/>
          <w:sz w:val="24"/>
          <w:szCs w:val="24"/>
        </w:rPr>
        <w:t xml:space="preserve"> z Rzeszowa</w:t>
      </w:r>
      <w:r w:rsidRPr="00016D32">
        <w:rPr>
          <w:rFonts w:cstheme="minorHAnsi"/>
          <w:sz w:val="24"/>
          <w:szCs w:val="24"/>
        </w:rPr>
        <w:t>:</w:t>
      </w:r>
    </w:p>
    <w:p w14:paraId="06549776" w14:textId="20ABDF76" w:rsidR="00AF4847" w:rsidRPr="00016D32" w:rsidRDefault="00AF4847" w:rsidP="00887032">
      <w:pPr>
        <w:spacing w:after="40" w:line="240" w:lineRule="auto"/>
        <w:jc w:val="both"/>
        <w:rPr>
          <w:rFonts w:cstheme="minorHAnsi"/>
          <w:sz w:val="24"/>
          <w:szCs w:val="24"/>
        </w:rPr>
      </w:pPr>
      <w:r w:rsidRPr="00016D32">
        <w:rPr>
          <w:rFonts w:cstheme="minorHAnsi"/>
          <w:sz w:val="24"/>
          <w:szCs w:val="24"/>
        </w:rPr>
        <w:t xml:space="preserve"> W skrócie</w:t>
      </w:r>
      <w:r w:rsidR="00282B03" w:rsidRPr="00016D32">
        <w:rPr>
          <w:rFonts w:cstheme="minorHAnsi"/>
          <w:sz w:val="24"/>
          <w:szCs w:val="24"/>
        </w:rPr>
        <w:t xml:space="preserve"> przedstawiają się nast</w:t>
      </w:r>
      <w:r w:rsidR="008F2C5C" w:rsidRPr="00016D32">
        <w:rPr>
          <w:rFonts w:cstheme="minorHAnsi"/>
          <w:sz w:val="24"/>
          <w:szCs w:val="24"/>
        </w:rPr>
        <w:t>ę</w:t>
      </w:r>
      <w:r w:rsidR="00282B03" w:rsidRPr="00016D32">
        <w:rPr>
          <w:rFonts w:cstheme="minorHAnsi"/>
          <w:sz w:val="24"/>
          <w:szCs w:val="24"/>
        </w:rPr>
        <w:t>pująco</w:t>
      </w:r>
      <w:r w:rsidRPr="00016D32">
        <w:rPr>
          <w:rFonts w:cstheme="minorHAnsi"/>
          <w:sz w:val="24"/>
          <w:szCs w:val="24"/>
        </w:rPr>
        <w:t>:</w:t>
      </w:r>
    </w:p>
    <w:p w14:paraId="2304EEA5" w14:textId="0E8CBE2D" w:rsidR="00B04AB3" w:rsidRPr="00016D32" w:rsidRDefault="00B04AB3" w:rsidP="00B04AB3">
      <w:pPr>
        <w:spacing w:after="40" w:line="240" w:lineRule="auto"/>
        <w:jc w:val="both"/>
        <w:rPr>
          <w:rFonts w:cstheme="minorHAnsi"/>
          <w:sz w:val="24"/>
          <w:szCs w:val="24"/>
        </w:rPr>
      </w:pPr>
      <w:r w:rsidRPr="00016D32">
        <w:rPr>
          <w:rFonts w:cstheme="minorHAnsi"/>
          <w:sz w:val="24"/>
          <w:szCs w:val="24"/>
        </w:rPr>
        <w:t xml:space="preserve">1. </w:t>
      </w:r>
      <w:r w:rsidR="00AF4847" w:rsidRPr="00016D32">
        <w:rPr>
          <w:rFonts w:cstheme="minorHAnsi"/>
          <w:b/>
          <w:bCs/>
          <w:sz w:val="24"/>
          <w:szCs w:val="24"/>
        </w:rPr>
        <w:t>Sprawa</w:t>
      </w:r>
      <w:r w:rsidR="00AF4847" w:rsidRPr="00016D32">
        <w:rPr>
          <w:rFonts w:cstheme="minorHAnsi"/>
          <w:sz w:val="24"/>
          <w:szCs w:val="24"/>
        </w:rPr>
        <w:t xml:space="preserve"> z powództwa Tarnobrzeskiego Towarzystwa Budownictwa Społecznego Sp. z o.o. przeciwko 1) MARCOM Sp. z o.o. , 2)Przedsiębiorstwo Robót Inżynieryjnych Budownictwa Sp. z o.o. o zapłatę. </w:t>
      </w:r>
      <w:r w:rsidRPr="00016D32">
        <w:rPr>
          <w:rFonts w:cstheme="minorHAnsi"/>
          <w:sz w:val="24"/>
          <w:szCs w:val="24"/>
        </w:rPr>
        <w:t>Sygn. Akt VI GC 218/23. Pozew inicjujący postępowanie z dn. 10.06.2020r.</w:t>
      </w:r>
    </w:p>
    <w:p w14:paraId="4110B3A9" w14:textId="77777777" w:rsidR="00B04AB3" w:rsidRPr="00016D32" w:rsidRDefault="000804CB" w:rsidP="00B04AB3">
      <w:pPr>
        <w:spacing w:after="200" w:line="276" w:lineRule="auto"/>
        <w:jc w:val="both"/>
        <w:rPr>
          <w:rFonts w:cstheme="minorHAnsi"/>
          <w:sz w:val="24"/>
          <w:szCs w:val="24"/>
        </w:rPr>
      </w:pPr>
      <w:r w:rsidRPr="00016D32">
        <w:rPr>
          <w:rFonts w:cstheme="minorHAnsi"/>
          <w:sz w:val="24"/>
          <w:szCs w:val="24"/>
        </w:rPr>
        <w:lastRenderedPageBreak/>
        <w:t xml:space="preserve">TTBS </w:t>
      </w:r>
      <w:r w:rsidR="00AF4847" w:rsidRPr="00016D32">
        <w:rPr>
          <w:rFonts w:cstheme="minorHAnsi"/>
          <w:sz w:val="24"/>
          <w:szCs w:val="24"/>
        </w:rPr>
        <w:t xml:space="preserve"> domagał się zasądzenia od pozwanych solidarnie kwoty 570 612,34 zł wraz z odsetkami ustawowymi</w:t>
      </w:r>
      <w:r w:rsidR="00B04AB3" w:rsidRPr="00016D32">
        <w:rPr>
          <w:rFonts w:cstheme="minorHAnsi"/>
          <w:sz w:val="24"/>
          <w:szCs w:val="24"/>
        </w:rPr>
        <w:t xml:space="preserve"> z tytułu:</w:t>
      </w:r>
    </w:p>
    <w:p w14:paraId="7FE23748" w14:textId="2940DDF7" w:rsidR="00B04AB3" w:rsidRPr="00016D32" w:rsidRDefault="00B04AB3" w:rsidP="00B04AB3">
      <w:pPr>
        <w:pStyle w:val="Akapitzlist"/>
        <w:numPr>
          <w:ilvl w:val="0"/>
          <w:numId w:val="26"/>
        </w:numPr>
        <w:spacing w:after="200" w:line="276" w:lineRule="auto"/>
        <w:jc w:val="both"/>
        <w:rPr>
          <w:rFonts w:cstheme="minorHAnsi"/>
          <w:sz w:val="24"/>
          <w:szCs w:val="24"/>
        </w:rPr>
      </w:pPr>
      <w:r w:rsidRPr="00016D32">
        <w:rPr>
          <w:rFonts w:cstheme="minorHAnsi"/>
          <w:sz w:val="24"/>
          <w:szCs w:val="24"/>
        </w:rPr>
        <w:t xml:space="preserve">Różnicy pomiędzy fakturami  wystawionymi przez Pozwany 1. Tj. </w:t>
      </w:r>
      <w:proofErr w:type="spellStart"/>
      <w:r w:rsidRPr="00016D32">
        <w:rPr>
          <w:rFonts w:cstheme="minorHAnsi"/>
          <w:sz w:val="24"/>
          <w:szCs w:val="24"/>
        </w:rPr>
        <w:t>MarCom</w:t>
      </w:r>
      <w:proofErr w:type="spellEnd"/>
      <w:r w:rsidRPr="00016D32">
        <w:rPr>
          <w:rFonts w:cstheme="minorHAnsi"/>
          <w:sz w:val="24"/>
          <w:szCs w:val="24"/>
        </w:rPr>
        <w:t xml:space="preserve"> Sp. z o.o. : Fa 3/10/2018 i Fa 5/01/2019, a karami umownymi wynikającymi z not nr 24 i 62 ( dokonano potrącenia kar umownych  z  wynagrodzeniem należnym Pozwanym) </w:t>
      </w:r>
      <w:r w:rsidRPr="00016D32">
        <w:rPr>
          <w:rFonts w:cstheme="minorHAnsi"/>
          <w:b/>
          <w:bCs/>
          <w:sz w:val="24"/>
          <w:szCs w:val="24"/>
        </w:rPr>
        <w:t>-   113 360,37 zł,</w:t>
      </w:r>
    </w:p>
    <w:p w14:paraId="246FC4FC" w14:textId="77777777" w:rsidR="00B04AB3" w:rsidRPr="00016D32" w:rsidRDefault="00B04AB3" w:rsidP="00B04AB3">
      <w:pPr>
        <w:pStyle w:val="Akapitzlist"/>
        <w:numPr>
          <w:ilvl w:val="0"/>
          <w:numId w:val="25"/>
        </w:numPr>
        <w:spacing w:after="200" w:line="276" w:lineRule="auto"/>
        <w:ind w:left="851" w:hanging="425"/>
        <w:rPr>
          <w:rFonts w:cstheme="minorHAnsi"/>
          <w:b/>
          <w:sz w:val="24"/>
          <w:szCs w:val="24"/>
        </w:rPr>
      </w:pPr>
      <w:r w:rsidRPr="00016D32">
        <w:rPr>
          <w:rFonts w:cstheme="minorHAnsi"/>
          <w:sz w:val="24"/>
          <w:szCs w:val="24"/>
        </w:rPr>
        <w:t xml:space="preserve">Nakładów poniesionych z tytułu wykonawstwa zastępczego  </w:t>
      </w:r>
      <w:r w:rsidRPr="00016D32">
        <w:rPr>
          <w:rFonts w:cstheme="minorHAnsi"/>
          <w:b/>
          <w:sz w:val="24"/>
          <w:szCs w:val="24"/>
        </w:rPr>
        <w:t>- 105 394, 548 zł,</w:t>
      </w:r>
    </w:p>
    <w:p w14:paraId="6EE4CCE3" w14:textId="77777777" w:rsidR="00B04AB3" w:rsidRPr="00016D32" w:rsidRDefault="00B04AB3" w:rsidP="00B04AB3">
      <w:pPr>
        <w:pStyle w:val="Akapitzlist"/>
        <w:numPr>
          <w:ilvl w:val="0"/>
          <w:numId w:val="25"/>
        </w:numPr>
        <w:spacing w:after="200" w:line="276" w:lineRule="auto"/>
        <w:ind w:left="851" w:hanging="425"/>
        <w:rPr>
          <w:rFonts w:cstheme="minorHAnsi"/>
          <w:sz w:val="24"/>
          <w:szCs w:val="24"/>
        </w:rPr>
      </w:pPr>
      <w:r w:rsidRPr="00016D32">
        <w:rPr>
          <w:rFonts w:cstheme="minorHAnsi"/>
          <w:sz w:val="24"/>
          <w:szCs w:val="24"/>
        </w:rPr>
        <w:t xml:space="preserve">Wydatków poniesionych z tytułu konserwacji i utrzymania budynku – </w:t>
      </w:r>
      <w:r w:rsidRPr="00016D32">
        <w:rPr>
          <w:rFonts w:cstheme="minorHAnsi"/>
          <w:b/>
          <w:sz w:val="24"/>
          <w:szCs w:val="24"/>
        </w:rPr>
        <w:t>96 647,06 zł,</w:t>
      </w:r>
    </w:p>
    <w:p w14:paraId="7D09A6CB" w14:textId="5A6BB99A" w:rsidR="00B04AB3" w:rsidRPr="00016D32" w:rsidRDefault="00B04AB3" w:rsidP="00B04AB3">
      <w:pPr>
        <w:pStyle w:val="Akapitzlist"/>
        <w:numPr>
          <w:ilvl w:val="0"/>
          <w:numId w:val="25"/>
        </w:numPr>
        <w:spacing w:after="200" w:line="276" w:lineRule="auto"/>
        <w:ind w:left="851" w:hanging="425"/>
        <w:rPr>
          <w:rFonts w:cstheme="minorHAnsi"/>
          <w:sz w:val="24"/>
          <w:szCs w:val="24"/>
        </w:rPr>
      </w:pPr>
      <w:r w:rsidRPr="00016D32">
        <w:rPr>
          <w:rFonts w:cstheme="minorHAnsi"/>
          <w:sz w:val="24"/>
          <w:szCs w:val="24"/>
        </w:rPr>
        <w:t xml:space="preserve">Utraconych  dochodów – </w:t>
      </w:r>
      <w:r w:rsidRPr="00016D32">
        <w:rPr>
          <w:rFonts w:cstheme="minorHAnsi"/>
          <w:b/>
          <w:bCs/>
          <w:sz w:val="24"/>
          <w:szCs w:val="24"/>
        </w:rPr>
        <w:t>255 210,33 zł.</w:t>
      </w:r>
    </w:p>
    <w:p w14:paraId="4A140EAB" w14:textId="07EF7390" w:rsidR="00164D5F" w:rsidRPr="00016D32" w:rsidRDefault="00AF4847" w:rsidP="006967C7">
      <w:pPr>
        <w:pStyle w:val="Akapitzlist"/>
        <w:spacing w:after="40" w:line="240" w:lineRule="auto"/>
        <w:jc w:val="both"/>
        <w:rPr>
          <w:rFonts w:cstheme="minorHAnsi"/>
          <w:sz w:val="24"/>
          <w:szCs w:val="24"/>
        </w:rPr>
      </w:pPr>
      <w:r w:rsidRPr="00016D32">
        <w:rPr>
          <w:rFonts w:cstheme="minorHAnsi"/>
          <w:sz w:val="24"/>
          <w:szCs w:val="24"/>
        </w:rPr>
        <w:t xml:space="preserve">Sprawa oddalona w I instancji  w całości. W wyniku złożonej przez TTBS </w:t>
      </w:r>
      <w:r w:rsidR="003C3BD4" w:rsidRPr="00016D32">
        <w:rPr>
          <w:rFonts w:cstheme="minorHAnsi"/>
          <w:sz w:val="24"/>
          <w:szCs w:val="24"/>
        </w:rPr>
        <w:t xml:space="preserve">Sp. z o.o. </w:t>
      </w:r>
      <w:r w:rsidRPr="00016D32">
        <w:rPr>
          <w:rFonts w:cstheme="minorHAnsi"/>
          <w:sz w:val="24"/>
          <w:szCs w:val="24"/>
        </w:rPr>
        <w:t xml:space="preserve">apelacji </w:t>
      </w:r>
      <w:r w:rsidR="00887032" w:rsidRPr="00016D32">
        <w:rPr>
          <w:rFonts w:cstheme="minorHAnsi"/>
          <w:sz w:val="24"/>
          <w:szCs w:val="24"/>
        </w:rPr>
        <w:t>Sąd Apelacyjny w Rzeszowie uchylił zaskarżony wyrok w zakresie kwoty 113.360, 37</w:t>
      </w:r>
      <w:r w:rsidR="006967C7" w:rsidRPr="00016D32">
        <w:rPr>
          <w:rFonts w:cstheme="minorHAnsi"/>
          <w:sz w:val="24"/>
          <w:szCs w:val="24"/>
        </w:rPr>
        <w:t xml:space="preserve"> zł </w:t>
      </w:r>
      <w:r w:rsidR="00887032" w:rsidRPr="00016D32">
        <w:rPr>
          <w:rFonts w:cstheme="minorHAnsi"/>
          <w:sz w:val="24"/>
          <w:szCs w:val="24"/>
        </w:rPr>
        <w:t>z tytułu kar umownych. Oddalił apelację w po</w:t>
      </w:r>
      <w:r w:rsidR="003605CE" w:rsidRPr="00016D32">
        <w:rPr>
          <w:rFonts w:cstheme="minorHAnsi"/>
          <w:sz w:val="24"/>
          <w:szCs w:val="24"/>
        </w:rPr>
        <w:t>zostałym zakresie.</w:t>
      </w:r>
    </w:p>
    <w:p w14:paraId="12BDFB10" w14:textId="2C23606E" w:rsidR="003C3BD4" w:rsidRPr="00016D32" w:rsidRDefault="003C3BD4" w:rsidP="006967C7">
      <w:pPr>
        <w:ind w:left="708"/>
        <w:jc w:val="both"/>
        <w:rPr>
          <w:rFonts w:cstheme="minorHAnsi"/>
          <w:sz w:val="24"/>
          <w:szCs w:val="24"/>
        </w:rPr>
      </w:pPr>
      <w:r w:rsidRPr="00016D32">
        <w:rPr>
          <w:rFonts w:cstheme="minorHAnsi"/>
          <w:sz w:val="24"/>
          <w:szCs w:val="24"/>
        </w:rPr>
        <w:t xml:space="preserve">W ocenie obecnego Zarządu nie dołożono należytej staranności w przygotowaniu </w:t>
      </w:r>
      <w:r w:rsidR="000743EA" w:rsidRPr="00016D32">
        <w:rPr>
          <w:rFonts w:cstheme="minorHAnsi"/>
          <w:sz w:val="24"/>
          <w:szCs w:val="24"/>
        </w:rPr>
        <w:t xml:space="preserve">materiałów do wytoczenia niniejszego </w:t>
      </w:r>
      <w:r w:rsidRPr="00016D32">
        <w:rPr>
          <w:rFonts w:cstheme="minorHAnsi"/>
          <w:sz w:val="24"/>
          <w:szCs w:val="24"/>
        </w:rPr>
        <w:t xml:space="preserve">postępowania. </w:t>
      </w:r>
      <w:r w:rsidR="000743EA" w:rsidRPr="00016D32">
        <w:rPr>
          <w:rFonts w:cstheme="minorHAnsi"/>
          <w:sz w:val="24"/>
          <w:szCs w:val="24"/>
        </w:rPr>
        <w:t xml:space="preserve">W postępowaniu tym wydana została bardzo niekorzystna dla Spółki opinia Biegłego Sądowego, </w:t>
      </w:r>
      <w:bookmarkStart w:id="6" w:name="_Hlk176510433"/>
      <w:r w:rsidR="000743EA" w:rsidRPr="00016D32">
        <w:rPr>
          <w:rFonts w:cstheme="minorHAnsi"/>
          <w:sz w:val="24"/>
          <w:szCs w:val="24"/>
        </w:rPr>
        <w:t>której nie potrafiliśmy skutecznie zanegować</w:t>
      </w:r>
      <w:bookmarkEnd w:id="6"/>
      <w:r w:rsidR="000743EA" w:rsidRPr="00016D32">
        <w:rPr>
          <w:rFonts w:cstheme="minorHAnsi"/>
          <w:sz w:val="24"/>
          <w:szCs w:val="24"/>
        </w:rPr>
        <w:t xml:space="preserve">. Przedmiotowe niedociągnięcia </w:t>
      </w:r>
      <w:r w:rsidRPr="00016D32">
        <w:rPr>
          <w:rFonts w:cstheme="minorHAnsi"/>
          <w:sz w:val="24"/>
          <w:szCs w:val="24"/>
        </w:rPr>
        <w:t>zostały wyartykułowane  w uzasadnieniu wyroku Sądu Apelacyjnego w Rzeszowie z dnia 31 kwietnia 2023r.</w:t>
      </w:r>
    </w:p>
    <w:p w14:paraId="0D5E6197" w14:textId="6B9D1D23" w:rsidR="00AF4847" w:rsidRPr="00016D32" w:rsidRDefault="003605CE" w:rsidP="006967C7">
      <w:pPr>
        <w:spacing w:after="40" w:line="240" w:lineRule="auto"/>
        <w:ind w:firstLine="708"/>
        <w:jc w:val="both"/>
        <w:rPr>
          <w:rFonts w:cstheme="minorHAnsi"/>
          <w:sz w:val="24"/>
          <w:szCs w:val="24"/>
        </w:rPr>
      </w:pPr>
      <w:r w:rsidRPr="00016D32">
        <w:rPr>
          <w:rFonts w:cstheme="minorHAnsi"/>
          <w:sz w:val="24"/>
          <w:szCs w:val="24"/>
        </w:rPr>
        <w:t>Sprawa w tok</w:t>
      </w:r>
      <w:r w:rsidR="004D26BA" w:rsidRPr="00016D32">
        <w:rPr>
          <w:rFonts w:cstheme="minorHAnsi"/>
          <w:sz w:val="24"/>
          <w:szCs w:val="24"/>
        </w:rPr>
        <w:t>u</w:t>
      </w:r>
      <w:r w:rsidR="003C3BD4" w:rsidRPr="00016D32">
        <w:rPr>
          <w:rFonts w:cstheme="minorHAnsi"/>
          <w:sz w:val="24"/>
          <w:szCs w:val="24"/>
        </w:rPr>
        <w:t>, postępowanie dowodowe zakończone, oczekujemy na wyrok sądu.</w:t>
      </w:r>
    </w:p>
    <w:p w14:paraId="78D2A350" w14:textId="32058B49" w:rsidR="00887032" w:rsidRPr="00016D32" w:rsidRDefault="00887032" w:rsidP="006967C7">
      <w:pPr>
        <w:pStyle w:val="Akapitzlist"/>
        <w:spacing w:after="40" w:line="240" w:lineRule="auto"/>
        <w:jc w:val="both"/>
        <w:rPr>
          <w:rFonts w:cstheme="minorHAnsi"/>
          <w:sz w:val="24"/>
          <w:szCs w:val="24"/>
        </w:rPr>
      </w:pPr>
      <w:r w:rsidRPr="00016D32">
        <w:rPr>
          <w:rFonts w:cstheme="minorHAnsi"/>
          <w:sz w:val="24"/>
          <w:szCs w:val="24"/>
        </w:rPr>
        <w:t>Sprawa bardzo ważna gdyż jej rozstrzygnięcie</w:t>
      </w:r>
      <w:r w:rsidR="00B04AB3" w:rsidRPr="00016D32">
        <w:rPr>
          <w:rFonts w:cstheme="minorHAnsi"/>
          <w:sz w:val="24"/>
          <w:szCs w:val="24"/>
        </w:rPr>
        <w:t xml:space="preserve"> w zakresie kwoty dochodzonej z tytułu naliczonej wykonawcy kary umownej </w:t>
      </w:r>
      <w:r w:rsidRPr="00016D32">
        <w:rPr>
          <w:rFonts w:cstheme="minorHAnsi"/>
          <w:sz w:val="24"/>
          <w:szCs w:val="24"/>
        </w:rPr>
        <w:t xml:space="preserve"> będzie miało </w:t>
      </w:r>
      <w:r w:rsidR="003605CE" w:rsidRPr="00016D32">
        <w:rPr>
          <w:rFonts w:cstheme="minorHAnsi"/>
          <w:sz w:val="24"/>
          <w:szCs w:val="24"/>
        </w:rPr>
        <w:t xml:space="preserve">swoje skutki dla rozstrzygnięć </w:t>
      </w:r>
      <w:r w:rsidR="00C255AA" w:rsidRPr="00016D32">
        <w:rPr>
          <w:rFonts w:cstheme="minorHAnsi"/>
          <w:sz w:val="24"/>
          <w:szCs w:val="24"/>
        </w:rPr>
        <w:br/>
      </w:r>
      <w:r w:rsidR="003605CE" w:rsidRPr="00016D32">
        <w:rPr>
          <w:rFonts w:cstheme="minorHAnsi"/>
          <w:sz w:val="24"/>
          <w:szCs w:val="24"/>
        </w:rPr>
        <w:t>w poniższych dwóch sprawach.</w:t>
      </w:r>
    </w:p>
    <w:p w14:paraId="10F18186" w14:textId="77777777" w:rsidR="003C3BD4" w:rsidRPr="00016D32" w:rsidRDefault="003C3BD4" w:rsidP="00887032">
      <w:pPr>
        <w:pStyle w:val="Akapitzlist"/>
        <w:spacing w:after="40" w:line="240" w:lineRule="auto"/>
        <w:jc w:val="both"/>
        <w:rPr>
          <w:rFonts w:cstheme="minorHAnsi"/>
          <w:sz w:val="24"/>
          <w:szCs w:val="24"/>
        </w:rPr>
      </w:pPr>
    </w:p>
    <w:p w14:paraId="1EF3D07E" w14:textId="08310952" w:rsidR="00D8476D" w:rsidRPr="00016D32" w:rsidRDefault="003605CE" w:rsidP="00D8476D">
      <w:pPr>
        <w:pStyle w:val="Akapitzlist"/>
        <w:numPr>
          <w:ilvl w:val="0"/>
          <w:numId w:val="27"/>
        </w:numPr>
        <w:spacing w:after="40" w:line="240" w:lineRule="auto"/>
        <w:jc w:val="both"/>
        <w:rPr>
          <w:rFonts w:cstheme="minorHAnsi"/>
          <w:sz w:val="24"/>
          <w:szCs w:val="24"/>
        </w:rPr>
      </w:pPr>
      <w:r w:rsidRPr="00016D32">
        <w:rPr>
          <w:rFonts w:cstheme="minorHAnsi"/>
          <w:sz w:val="24"/>
          <w:szCs w:val="24"/>
        </w:rPr>
        <w:t xml:space="preserve">Sprawa z powództwa </w:t>
      </w:r>
      <w:r w:rsidR="004D26BA" w:rsidRPr="00016D32">
        <w:rPr>
          <w:rFonts w:cstheme="minorHAnsi"/>
          <w:sz w:val="24"/>
          <w:szCs w:val="24"/>
        </w:rPr>
        <w:t>MARCOM Sp. z o.o. przeciwko Tarnobrzeskiemu Towarzystwu Budownictwa Społecznego Sp. z o.o. o zapłatę 736 359,97 wraz z odsetkami za opóźnienie</w:t>
      </w:r>
      <w:r w:rsidR="00D8476D" w:rsidRPr="00016D32">
        <w:rPr>
          <w:rFonts w:cstheme="minorHAnsi"/>
          <w:sz w:val="24"/>
          <w:szCs w:val="24"/>
        </w:rPr>
        <w:br/>
      </w:r>
      <w:r w:rsidR="004D26BA" w:rsidRPr="00016D32">
        <w:rPr>
          <w:rFonts w:cstheme="minorHAnsi"/>
          <w:sz w:val="24"/>
          <w:szCs w:val="24"/>
        </w:rPr>
        <w:t>w transakcjach handlowych liczonymi od 1 grudnia 2018 roku do dnia zapłaty.</w:t>
      </w:r>
      <w:r w:rsidR="006C6774" w:rsidRPr="00016D32">
        <w:rPr>
          <w:rFonts w:cstheme="minorHAnsi"/>
          <w:sz w:val="24"/>
          <w:szCs w:val="24"/>
        </w:rPr>
        <w:t xml:space="preserve"> Pozew inicjujący postępowanie z dnia 29.12.2021r. sygn. Akt. VI GC 17/22 przed Sądem Okręgowym </w:t>
      </w:r>
      <w:r w:rsidR="004D26BA" w:rsidRPr="00016D32">
        <w:rPr>
          <w:rFonts w:cstheme="minorHAnsi"/>
          <w:sz w:val="24"/>
          <w:szCs w:val="24"/>
        </w:rPr>
        <w:t xml:space="preserve"> </w:t>
      </w:r>
      <w:r w:rsidR="006C6774" w:rsidRPr="00016D32">
        <w:rPr>
          <w:rFonts w:cstheme="minorHAnsi"/>
          <w:sz w:val="24"/>
          <w:szCs w:val="24"/>
        </w:rPr>
        <w:t xml:space="preserve">W Rzeszowie. </w:t>
      </w:r>
    </w:p>
    <w:p w14:paraId="2785CD91" w14:textId="3C1FE8DB" w:rsidR="00D8476D" w:rsidRPr="00016D32" w:rsidRDefault="00D8476D" w:rsidP="00D8476D">
      <w:pPr>
        <w:pStyle w:val="Akapitzlist"/>
        <w:spacing w:after="40" w:line="240" w:lineRule="auto"/>
        <w:jc w:val="both"/>
        <w:rPr>
          <w:rFonts w:cstheme="minorHAnsi"/>
          <w:sz w:val="24"/>
          <w:szCs w:val="24"/>
        </w:rPr>
      </w:pPr>
      <w:r w:rsidRPr="00016D32">
        <w:rPr>
          <w:rFonts w:cstheme="minorHAnsi"/>
          <w:sz w:val="24"/>
          <w:szCs w:val="24"/>
        </w:rPr>
        <w:t>W odpowiedzi na pozew Pełnomocnik TTBS wniósł o</w:t>
      </w:r>
    </w:p>
    <w:p w14:paraId="1CA9CA65" w14:textId="606F30ED" w:rsidR="00D8476D" w:rsidRPr="00016D32" w:rsidRDefault="00D8476D" w:rsidP="006967C7">
      <w:pPr>
        <w:pStyle w:val="Akapitzlist"/>
        <w:numPr>
          <w:ilvl w:val="0"/>
          <w:numId w:val="31"/>
        </w:numPr>
        <w:spacing w:after="40" w:line="240" w:lineRule="auto"/>
        <w:jc w:val="both"/>
        <w:rPr>
          <w:rFonts w:cstheme="minorHAnsi"/>
          <w:sz w:val="24"/>
          <w:szCs w:val="24"/>
        </w:rPr>
      </w:pPr>
      <w:r w:rsidRPr="00016D32">
        <w:rPr>
          <w:rFonts w:cstheme="minorHAnsi"/>
          <w:sz w:val="24"/>
          <w:szCs w:val="24"/>
        </w:rPr>
        <w:t>oddalenie powództwa w całości,</w:t>
      </w:r>
    </w:p>
    <w:p w14:paraId="494658A5" w14:textId="5C3F567E" w:rsidR="008B49CE" w:rsidRPr="00016D32" w:rsidRDefault="008B49CE" w:rsidP="006967C7">
      <w:pPr>
        <w:pStyle w:val="Akapitzlist"/>
        <w:numPr>
          <w:ilvl w:val="0"/>
          <w:numId w:val="31"/>
        </w:numPr>
        <w:spacing w:line="240" w:lineRule="auto"/>
        <w:jc w:val="both"/>
        <w:rPr>
          <w:rFonts w:cstheme="minorHAnsi"/>
          <w:sz w:val="24"/>
          <w:szCs w:val="24"/>
        </w:rPr>
      </w:pPr>
      <w:r w:rsidRPr="00016D32">
        <w:rPr>
          <w:rFonts w:cstheme="minorHAnsi"/>
          <w:sz w:val="24"/>
          <w:szCs w:val="24"/>
        </w:rPr>
        <w:t>Potrącenia dochodzonej przez Powoda wierzytelności w wysokości 736 359,97 zł  wynikającą</w:t>
      </w:r>
      <w:r w:rsidR="006967C7" w:rsidRPr="00016D32">
        <w:rPr>
          <w:rFonts w:cstheme="minorHAnsi"/>
          <w:sz w:val="24"/>
          <w:szCs w:val="24"/>
        </w:rPr>
        <w:t xml:space="preserve"> </w:t>
      </w:r>
      <w:r w:rsidRPr="00016D32">
        <w:rPr>
          <w:rFonts w:cstheme="minorHAnsi"/>
          <w:sz w:val="24"/>
          <w:szCs w:val="24"/>
        </w:rPr>
        <w:t xml:space="preserve">z faktury numer FA/3/10/2018 z przysługującą Pozwanemu wierzytelnością z tytułu kary umownej w wysokości 756 079,14 zł  dokonanego na podstawie noty księgowej nr 62 z dnia 27 listopada 2018 r.  </w:t>
      </w:r>
    </w:p>
    <w:p w14:paraId="48D43045" w14:textId="6DD39537" w:rsidR="00D8476D" w:rsidRPr="00016D32" w:rsidRDefault="008B49CE" w:rsidP="006967C7">
      <w:pPr>
        <w:pStyle w:val="Akapitzlist"/>
        <w:numPr>
          <w:ilvl w:val="0"/>
          <w:numId w:val="31"/>
        </w:numPr>
        <w:spacing w:after="40" w:line="240" w:lineRule="auto"/>
        <w:jc w:val="both"/>
        <w:rPr>
          <w:rFonts w:cstheme="minorHAnsi"/>
          <w:sz w:val="24"/>
          <w:szCs w:val="24"/>
        </w:rPr>
      </w:pPr>
      <w:r w:rsidRPr="00016D32">
        <w:rPr>
          <w:rFonts w:cstheme="minorHAnsi"/>
          <w:sz w:val="24"/>
          <w:szCs w:val="24"/>
        </w:rPr>
        <w:t>z daleko idącej ostrożności procesowej i na wypadek nie uznania zasadności potrącenia ze względu na kary umowne zgłoszonego powyżej Pozwany ponosi zarzut potrącenia wierzytelności Powoda dochodzonej w niniejszej sprawie  kwoty z wzajemną wierzytelnością Pozwanego o zwrot kwoty, tj. 3 000 000 zł, a to tytułem kosztów usunięcia wykonanych robót budowlanych.</w:t>
      </w:r>
    </w:p>
    <w:p w14:paraId="368254A5" w14:textId="77777777" w:rsidR="008B49CE" w:rsidRPr="00016D32" w:rsidRDefault="008B49CE" w:rsidP="00D8476D">
      <w:pPr>
        <w:pStyle w:val="Akapitzlist"/>
        <w:spacing w:after="40" w:line="240" w:lineRule="auto"/>
        <w:jc w:val="both"/>
        <w:rPr>
          <w:rFonts w:cstheme="minorHAnsi"/>
          <w:sz w:val="24"/>
          <w:szCs w:val="24"/>
        </w:rPr>
      </w:pPr>
    </w:p>
    <w:p w14:paraId="168D3641" w14:textId="54E6D4E6" w:rsidR="00D8476D" w:rsidRPr="00016D32" w:rsidRDefault="004D26BA" w:rsidP="00D8476D">
      <w:pPr>
        <w:pStyle w:val="Akapitzlist"/>
        <w:spacing w:after="40" w:line="240" w:lineRule="auto"/>
        <w:jc w:val="both"/>
        <w:rPr>
          <w:rFonts w:cstheme="minorHAnsi"/>
          <w:sz w:val="24"/>
          <w:szCs w:val="24"/>
        </w:rPr>
      </w:pPr>
      <w:r w:rsidRPr="00016D32">
        <w:rPr>
          <w:rFonts w:cstheme="minorHAnsi"/>
          <w:sz w:val="24"/>
          <w:szCs w:val="24"/>
        </w:rPr>
        <w:t>TTBS złożyło wniosek o zawieszenie postępowania</w:t>
      </w:r>
      <w:r w:rsidR="00A9446E" w:rsidRPr="00016D32">
        <w:rPr>
          <w:rFonts w:cstheme="minorHAnsi"/>
          <w:sz w:val="24"/>
          <w:szCs w:val="24"/>
        </w:rPr>
        <w:t xml:space="preserve"> do czasu rozstrzygnięcia sprawy przed Sądem Okręgowym w Rzeszowie pod sygn. Akt VI GC 185/20. </w:t>
      </w:r>
    </w:p>
    <w:p w14:paraId="3BD00745" w14:textId="77777777" w:rsidR="008B49CE" w:rsidRPr="00016D32" w:rsidRDefault="008B49CE" w:rsidP="000743EA">
      <w:pPr>
        <w:pStyle w:val="Akapitzlist"/>
        <w:spacing w:after="40" w:line="240" w:lineRule="auto"/>
        <w:jc w:val="both"/>
        <w:rPr>
          <w:rFonts w:cstheme="minorHAnsi"/>
          <w:sz w:val="24"/>
          <w:szCs w:val="24"/>
        </w:rPr>
      </w:pPr>
    </w:p>
    <w:p w14:paraId="0C48110A" w14:textId="0A6B76BF" w:rsidR="000743EA" w:rsidRPr="00016D32" w:rsidRDefault="000743EA" w:rsidP="000743EA">
      <w:pPr>
        <w:pStyle w:val="Akapitzlist"/>
        <w:spacing w:after="40" w:line="240" w:lineRule="auto"/>
        <w:jc w:val="both"/>
        <w:rPr>
          <w:rFonts w:cstheme="minorHAnsi"/>
          <w:sz w:val="24"/>
          <w:szCs w:val="24"/>
        </w:rPr>
      </w:pPr>
      <w:r w:rsidRPr="00016D32">
        <w:rPr>
          <w:rFonts w:cstheme="minorHAnsi"/>
          <w:sz w:val="24"/>
          <w:szCs w:val="24"/>
        </w:rPr>
        <w:t xml:space="preserve">W ocenie obecnego </w:t>
      </w:r>
      <w:r w:rsidR="006967C7" w:rsidRPr="00016D32">
        <w:rPr>
          <w:rFonts w:cstheme="minorHAnsi"/>
          <w:sz w:val="24"/>
          <w:szCs w:val="24"/>
        </w:rPr>
        <w:t>Z</w:t>
      </w:r>
      <w:r w:rsidRPr="00016D32">
        <w:rPr>
          <w:rFonts w:cstheme="minorHAnsi"/>
          <w:sz w:val="24"/>
          <w:szCs w:val="24"/>
        </w:rPr>
        <w:t xml:space="preserve">arządu również w tej sprawie  nie potrafiliśmy skutecznie zanegować niekorzystnej opinii tego samego biegłego sadowego. Jedynym pozytywnym elementem opinii biegłego jest wykazanie </w:t>
      </w:r>
      <w:r w:rsidR="000C4ACB" w:rsidRPr="00016D32">
        <w:rPr>
          <w:rFonts w:cstheme="minorHAnsi"/>
          <w:sz w:val="24"/>
          <w:szCs w:val="24"/>
        </w:rPr>
        <w:t xml:space="preserve">i wycenienie wad wykonawczych budynku, które zgłoszono do potrącenia </w:t>
      </w:r>
      <w:r w:rsidR="00D8476D" w:rsidRPr="00016D32">
        <w:rPr>
          <w:rFonts w:cstheme="minorHAnsi"/>
          <w:sz w:val="24"/>
          <w:szCs w:val="24"/>
        </w:rPr>
        <w:t xml:space="preserve">w </w:t>
      </w:r>
      <w:r w:rsidR="000C4ACB" w:rsidRPr="00016D32">
        <w:rPr>
          <w:rFonts w:cstheme="minorHAnsi"/>
          <w:sz w:val="24"/>
          <w:szCs w:val="24"/>
        </w:rPr>
        <w:t>niniejszym postepowaniu.</w:t>
      </w:r>
    </w:p>
    <w:p w14:paraId="1B2C62B0" w14:textId="04FD7DF1" w:rsidR="00C0728C" w:rsidRPr="00016D32" w:rsidRDefault="000743EA" w:rsidP="006967C7">
      <w:pPr>
        <w:spacing w:after="40" w:line="240" w:lineRule="auto"/>
        <w:ind w:firstLine="708"/>
        <w:jc w:val="both"/>
        <w:rPr>
          <w:rFonts w:cstheme="minorHAnsi"/>
          <w:sz w:val="24"/>
          <w:szCs w:val="24"/>
        </w:rPr>
      </w:pPr>
      <w:r w:rsidRPr="00016D32">
        <w:rPr>
          <w:rFonts w:cstheme="minorHAnsi"/>
          <w:sz w:val="24"/>
          <w:szCs w:val="24"/>
        </w:rPr>
        <w:lastRenderedPageBreak/>
        <w:t>Postępowanie dowodowe zakończone.</w:t>
      </w:r>
    </w:p>
    <w:p w14:paraId="18A8D78C" w14:textId="77777777" w:rsidR="000C4ACB" w:rsidRPr="00016D32" w:rsidRDefault="000C4ACB" w:rsidP="006967C7">
      <w:pPr>
        <w:spacing w:line="240" w:lineRule="auto"/>
        <w:ind w:left="708"/>
        <w:jc w:val="both"/>
        <w:rPr>
          <w:rFonts w:cstheme="minorHAnsi"/>
          <w:sz w:val="24"/>
          <w:szCs w:val="24"/>
        </w:rPr>
      </w:pPr>
      <w:r w:rsidRPr="00016D32">
        <w:rPr>
          <w:rFonts w:cstheme="minorHAnsi"/>
          <w:sz w:val="24"/>
          <w:szCs w:val="24"/>
        </w:rPr>
        <w:t>Postanowieniem Sądu z dnia 1 marca 2023 roku w sprawie  sygn. Akt VI GC 17/22 Sąd zawiesił postępowanie do czasu prawomocnego rozstrzygnięcia w sprawie toczącej się przed Sądem Okręgowym w Rzeszowie pod. sygn. Akt VI 185/20.</w:t>
      </w:r>
    </w:p>
    <w:p w14:paraId="63C32AE9" w14:textId="459842ED" w:rsidR="000C4ACB" w:rsidRPr="00016D32" w:rsidRDefault="000C4ACB" w:rsidP="006967C7">
      <w:pPr>
        <w:spacing w:line="240" w:lineRule="auto"/>
        <w:ind w:left="708"/>
        <w:jc w:val="both"/>
        <w:rPr>
          <w:rFonts w:cstheme="minorHAnsi"/>
          <w:sz w:val="24"/>
          <w:szCs w:val="24"/>
        </w:rPr>
      </w:pPr>
      <w:r w:rsidRPr="00016D32">
        <w:rPr>
          <w:rFonts w:cstheme="minorHAnsi"/>
          <w:sz w:val="24"/>
          <w:szCs w:val="24"/>
        </w:rPr>
        <w:t xml:space="preserve">Pismem z dnia 17 października 2023 r. pełnomocnik TTBS złożył w Sądzie Okręgowym </w:t>
      </w:r>
      <w:r w:rsidR="00D8476D" w:rsidRPr="00016D32">
        <w:rPr>
          <w:rFonts w:cstheme="minorHAnsi"/>
          <w:sz w:val="24"/>
          <w:szCs w:val="24"/>
        </w:rPr>
        <w:br/>
      </w:r>
      <w:r w:rsidRPr="00016D32">
        <w:rPr>
          <w:rFonts w:cstheme="minorHAnsi"/>
          <w:sz w:val="24"/>
          <w:szCs w:val="24"/>
        </w:rPr>
        <w:t xml:space="preserve">w Rzeszowie VI Wydział Gospodarczy w sprawie </w:t>
      </w:r>
      <w:proofErr w:type="spellStart"/>
      <w:r w:rsidRPr="00016D32">
        <w:rPr>
          <w:rFonts w:cstheme="minorHAnsi"/>
          <w:sz w:val="24"/>
          <w:szCs w:val="24"/>
        </w:rPr>
        <w:t>syg</w:t>
      </w:r>
      <w:proofErr w:type="spellEnd"/>
      <w:r w:rsidRPr="00016D32">
        <w:rPr>
          <w:rFonts w:cstheme="minorHAnsi"/>
          <w:sz w:val="24"/>
          <w:szCs w:val="24"/>
        </w:rPr>
        <w:t>. Akt. VI 17/22 PISMO PEŁNOMOCNIKA POZWANEGO  w którym :</w:t>
      </w:r>
    </w:p>
    <w:p w14:paraId="51521AB7" w14:textId="7D4C4E1E" w:rsidR="000C4ACB" w:rsidRPr="00016D32" w:rsidRDefault="000C4ACB" w:rsidP="006967C7">
      <w:pPr>
        <w:spacing w:line="240" w:lineRule="auto"/>
        <w:ind w:left="708"/>
        <w:jc w:val="both"/>
        <w:rPr>
          <w:rFonts w:cstheme="minorHAnsi"/>
          <w:sz w:val="24"/>
          <w:szCs w:val="24"/>
        </w:rPr>
      </w:pPr>
      <w:r w:rsidRPr="00016D32">
        <w:rPr>
          <w:rFonts w:cstheme="minorHAnsi"/>
          <w:sz w:val="24"/>
          <w:szCs w:val="24"/>
        </w:rPr>
        <w:t>Podnosi ewentualny zarzut potrącenia wierzytelności dochodzonej przez Powoda w niniejszym postępowaniu z wierzytelnością Strony Pozwanej przeciwko Powodowi w kwocie 963 484,41 zł, z tytułu dokonania przez Pozwanego spłaty Podwykonawcy ABM Solid S.A.</w:t>
      </w:r>
      <w:r w:rsidR="00D8476D" w:rsidRPr="00016D32">
        <w:rPr>
          <w:rFonts w:cstheme="minorHAnsi"/>
          <w:sz w:val="24"/>
          <w:szCs w:val="24"/>
        </w:rPr>
        <w:br/>
      </w:r>
      <w:r w:rsidRPr="00016D32">
        <w:rPr>
          <w:rFonts w:cstheme="minorHAnsi"/>
          <w:sz w:val="24"/>
          <w:szCs w:val="24"/>
        </w:rPr>
        <w:t xml:space="preserve"> w upadłości likwidacyjnej, z którym to podwykonawcą </w:t>
      </w:r>
      <w:proofErr w:type="spellStart"/>
      <w:r w:rsidRPr="00016D32">
        <w:rPr>
          <w:rFonts w:cstheme="minorHAnsi"/>
          <w:sz w:val="24"/>
          <w:szCs w:val="24"/>
        </w:rPr>
        <w:t>MarCom</w:t>
      </w:r>
      <w:proofErr w:type="spellEnd"/>
      <w:r w:rsidRPr="00016D32">
        <w:rPr>
          <w:rFonts w:cstheme="minorHAnsi"/>
          <w:sz w:val="24"/>
          <w:szCs w:val="24"/>
        </w:rPr>
        <w:t xml:space="preserve"> Sp. z o.o. zawarł umowę podwykonawczą dnia 5 czerwca 2017 r. i należnego wynagrodzenia nie uregulował.</w:t>
      </w:r>
    </w:p>
    <w:p w14:paraId="1F5EF34F" w14:textId="77777777" w:rsidR="000C4ACB" w:rsidRPr="00016D32" w:rsidRDefault="000C4ACB" w:rsidP="006967C7">
      <w:pPr>
        <w:spacing w:after="40" w:line="240" w:lineRule="auto"/>
        <w:ind w:firstLine="708"/>
        <w:jc w:val="both"/>
        <w:rPr>
          <w:rFonts w:cstheme="minorHAnsi"/>
          <w:sz w:val="24"/>
          <w:szCs w:val="24"/>
        </w:rPr>
      </w:pPr>
    </w:p>
    <w:p w14:paraId="7C707765" w14:textId="2BC5E9D8" w:rsidR="00C0728C" w:rsidRPr="00016D32" w:rsidRDefault="00A9446E" w:rsidP="006967C7">
      <w:pPr>
        <w:pStyle w:val="Akapitzlist"/>
        <w:spacing w:after="40" w:line="240" w:lineRule="auto"/>
        <w:jc w:val="both"/>
        <w:rPr>
          <w:rFonts w:cstheme="minorHAnsi"/>
          <w:b/>
          <w:bCs/>
          <w:sz w:val="24"/>
          <w:szCs w:val="24"/>
        </w:rPr>
      </w:pPr>
      <w:r w:rsidRPr="00016D32">
        <w:rPr>
          <w:rFonts w:cstheme="minorHAnsi"/>
          <w:sz w:val="24"/>
          <w:szCs w:val="24"/>
        </w:rPr>
        <w:t xml:space="preserve"> Na koniec 2023 roku utworzono rezerwę w wysokości 1 023</w:t>
      </w:r>
      <w:r w:rsidR="00F55DCA" w:rsidRPr="00016D32">
        <w:rPr>
          <w:rFonts w:cstheme="minorHAnsi"/>
          <w:sz w:val="24"/>
          <w:szCs w:val="24"/>
        </w:rPr>
        <w:t> </w:t>
      </w:r>
      <w:r w:rsidRPr="00016D32">
        <w:rPr>
          <w:rFonts w:cstheme="minorHAnsi"/>
          <w:sz w:val="24"/>
          <w:szCs w:val="24"/>
        </w:rPr>
        <w:t>8</w:t>
      </w:r>
      <w:r w:rsidR="00F55DCA" w:rsidRPr="00016D32">
        <w:rPr>
          <w:rFonts w:cstheme="minorHAnsi"/>
          <w:sz w:val="24"/>
          <w:szCs w:val="24"/>
        </w:rPr>
        <w:t xml:space="preserve">46,03 zł w związku z toczącym się postępowaniem. Na kwotę tą składa się kwota główna 736 360,00 zł wraz z odsetkami, które </w:t>
      </w:r>
      <w:r w:rsidR="009D377F" w:rsidRPr="00016D32">
        <w:rPr>
          <w:rFonts w:cstheme="minorHAnsi"/>
          <w:sz w:val="24"/>
          <w:szCs w:val="24"/>
        </w:rPr>
        <w:t>na dzień 31.12.2023r. wynosiły 287 486,03 zł.</w:t>
      </w:r>
      <w:r w:rsidR="002D0FE5" w:rsidRPr="00016D32">
        <w:rPr>
          <w:rFonts w:cstheme="minorHAnsi"/>
          <w:sz w:val="24"/>
          <w:szCs w:val="24"/>
        </w:rPr>
        <w:t xml:space="preserve"> </w:t>
      </w:r>
      <w:r w:rsidR="00C0728C" w:rsidRPr="00016D32">
        <w:rPr>
          <w:rFonts w:cstheme="minorHAnsi"/>
          <w:b/>
          <w:bCs/>
          <w:sz w:val="24"/>
          <w:szCs w:val="24"/>
        </w:rPr>
        <w:t xml:space="preserve">Jednakże spółka nie posiada </w:t>
      </w:r>
      <w:bookmarkStart w:id="7" w:name="_Hlk174694493"/>
      <w:r w:rsidR="00C0728C" w:rsidRPr="00016D32">
        <w:rPr>
          <w:rFonts w:cstheme="minorHAnsi"/>
          <w:b/>
          <w:bCs/>
          <w:sz w:val="24"/>
          <w:szCs w:val="24"/>
        </w:rPr>
        <w:t>płynności finansowej na sp</w:t>
      </w:r>
      <w:r w:rsidR="002D0FE5" w:rsidRPr="00016D32">
        <w:rPr>
          <w:rFonts w:cstheme="minorHAnsi"/>
          <w:b/>
          <w:bCs/>
          <w:sz w:val="24"/>
          <w:szCs w:val="24"/>
        </w:rPr>
        <w:t>ełnieni</w:t>
      </w:r>
      <w:r w:rsidR="006967C7" w:rsidRPr="00016D32">
        <w:rPr>
          <w:rFonts w:cstheme="minorHAnsi"/>
          <w:b/>
          <w:bCs/>
          <w:sz w:val="24"/>
          <w:szCs w:val="24"/>
        </w:rPr>
        <w:t>e</w:t>
      </w:r>
      <w:r w:rsidR="002D0FE5" w:rsidRPr="00016D32">
        <w:rPr>
          <w:rFonts w:cstheme="minorHAnsi"/>
          <w:b/>
          <w:bCs/>
          <w:sz w:val="24"/>
          <w:szCs w:val="24"/>
        </w:rPr>
        <w:t xml:space="preserve"> przedmiotowego roszczenia.</w:t>
      </w:r>
    </w:p>
    <w:p w14:paraId="010E6A98" w14:textId="77777777" w:rsidR="006967C7" w:rsidRPr="00016D32" w:rsidRDefault="006967C7" w:rsidP="006967C7">
      <w:pPr>
        <w:pStyle w:val="Akapitzlist"/>
        <w:spacing w:after="40" w:line="240" w:lineRule="auto"/>
        <w:jc w:val="both"/>
        <w:rPr>
          <w:rFonts w:cstheme="minorHAnsi"/>
          <w:sz w:val="24"/>
          <w:szCs w:val="24"/>
        </w:rPr>
      </w:pPr>
    </w:p>
    <w:bookmarkEnd w:id="7"/>
    <w:p w14:paraId="2AADE3F3" w14:textId="4029AD8F" w:rsidR="00A21600" w:rsidRPr="00016D32" w:rsidRDefault="009D377F" w:rsidP="006967C7">
      <w:pPr>
        <w:pStyle w:val="Akapitzlist"/>
        <w:numPr>
          <w:ilvl w:val="0"/>
          <w:numId w:val="27"/>
        </w:numPr>
        <w:spacing w:after="40" w:line="240" w:lineRule="auto"/>
        <w:jc w:val="both"/>
        <w:rPr>
          <w:rFonts w:cstheme="minorHAnsi"/>
          <w:sz w:val="24"/>
          <w:szCs w:val="24"/>
        </w:rPr>
      </w:pPr>
      <w:r w:rsidRPr="00016D32">
        <w:rPr>
          <w:rFonts w:cstheme="minorHAnsi"/>
          <w:sz w:val="24"/>
          <w:szCs w:val="24"/>
        </w:rPr>
        <w:t xml:space="preserve">Sprawa z powództwa MARCOM Sp. z o.o. przeciwko Tarnobrzeskiemu Towarzystwu Budownictwa Społecznego Sp. z o.o. </w:t>
      </w:r>
      <w:r w:rsidR="00A21600" w:rsidRPr="00016D32">
        <w:rPr>
          <w:rFonts w:cstheme="minorHAnsi"/>
          <w:sz w:val="24"/>
          <w:szCs w:val="24"/>
        </w:rPr>
        <w:t xml:space="preserve">Sygn. Akt VI GC 79/23 . Pozew inicjujący postępowanie z 29.12.2022r.  </w:t>
      </w:r>
      <w:r w:rsidRPr="00016D32">
        <w:rPr>
          <w:rFonts w:cstheme="minorHAnsi"/>
          <w:sz w:val="24"/>
          <w:szCs w:val="24"/>
        </w:rPr>
        <w:t xml:space="preserve">o zapłatę kwoty 1 786 227,57 zł </w:t>
      </w:r>
      <w:r w:rsidR="00A21600" w:rsidRPr="00016D32">
        <w:rPr>
          <w:rFonts w:cstheme="minorHAnsi"/>
          <w:sz w:val="24"/>
          <w:szCs w:val="24"/>
        </w:rPr>
        <w:t>tytułem:</w:t>
      </w:r>
      <w:r w:rsidR="006C6774" w:rsidRPr="00016D32">
        <w:rPr>
          <w:rFonts w:cstheme="minorHAnsi"/>
          <w:sz w:val="24"/>
          <w:szCs w:val="24"/>
        </w:rPr>
        <w:t xml:space="preserve"> </w:t>
      </w:r>
    </w:p>
    <w:p w14:paraId="29E61D6C" w14:textId="457558BC" w:rsidR="00A21600" w:rsidRPr="00016D32" w:rsidRDefault="00A21600" w:rsidP="006967C7">
      <w:pPr>
        <w:pStyle w:val="Akapitzlist"/>
        <w:numPr>
          <w:ilvl w:val="0"/>
          <w:numId w:val="29"/>
        </w:numPr>
        <w:spacing w:line="240" w:lineRule="auto"/>
        <w:jc w:val="both"/>
        <w:rPr>
          <w:rFonts w:cstheme="minorHAnsi"/>
          <w:sz w:val="24"/>
          <w:szCs w:val="24"/>
        </w:rPr>
      </w:pPr>
      <w:r w:rsidRPr="00016D32">
        <w:rPr>
          <w:rFonts w:cstheme="minorHAnsi"/>
          <w:sz w:val="24"/>
          <w:szCs w:val="24"/>
        </w:rPr>
        <w:t>zapłaty  faktury  nr FA/3/10/2028 z dnia 30 października na kwotę 1 786 227,57 zł wraz z odsetkami za opóźnienie w transakcjach handlowych liczonymi:</w:t>
      </w:r>
    </w:p>
    <w:p w14:paraId="7C039225" w14:textId="77777777" w:rsidR="00A21600" w:rsidRPr="00016D32" w:rsidRDefault="00A21600" w:rsidP="006967C7">
      <w:pPr>
        <w:pStyle w:val="Akapitzlist"/>
        <w:numPr>
          <w:ilvl w:val="0"/>
          <w:numId w:val="28"/>
        </w:numPr>
        <w:spacing w:after="200" w:line="240" w:lineRule="auto"/>
        <w:jc w:val="both"/>
        <w:rPr>
          <w:rFonts w:cstheme="minorHAnsi"/>
          <w:sz w:val="24"/>
          <w:szCs w:val="24"/>
        </w:rPr>
      </w:pPr>
      <w:r w:rsidRPr="00016D32">
        <w:rPr>
          <w:rFonts w:cstheme="minorHAnsi"/>
          <w:sz w:val="24"/>
          <w:szCs w:val="24"/>
        </w:rPr>
        <w:t>od kwoty 1 207 806,50 złotych od dnia 24 lutego 2019 r. do dnia zapłaty</w:t>
      </w:r>
    </w:p>
    <w:p w14:paraId="300A9472" w14:textId="77777777" w:rsidR="00A21600" w:rsidRPr="00016D32" w:rsidRDefault="00A21600" w:rsidP="006967C7">
      <w:pPr>
        <w:pStyle w:val="Akapitzlist"/>
        <w:numPr>
          <w:ilvl w:val="0"/>
          <w:numId w:val="28"/>
        </w:numPr>
        <w:spacing w:after="200" w:line="240" w:lineRule="auto"/>
        <w:jc w:val="both"/>
        <w:rPr>
          <w:rFonts w:cstheme="minorHAnsi"/>
          <w:sz w:val="24"/>
          <w:szCs w:val="24"/>
        </w:rPr>
      </w:pPr>
      <w:r w:rsidRPr="00016D32">
        <w:rPr>
          <w:rFonts w:cstheme="minorHAnsi"/>
          <w:sz w:val="24"/>
          <w:szCs w:val="24"/>
        </w:rPr>
        <w:t>od kwoty 578 421,07 złotych od dnia 5 lutego 2019 roku do dnia zapłaty</w:t>
      </w:r>
    </w:p>
    <w:p w14:paraId="07FD0FD0" w14:textId="77777777" w:rsidR="00A21600" w:rsidRPr="00016D32" w:rsidRDefault="00A21600" w:rsidP="006967C7">
      <w:pPr>
        <w:pStyle w:val="Akapitzlist"/>
        <w:spacing w:after="40" w:line="240" w:lineRule="auto"/>
        <w:jc w:val="both"/>
        <w:rPr>
          <w:rFonts w:cstheme="minorHAnsi"/>
          <w:sz w:val="24"/>
          <w:szCs w:val="24"/>
        </w:rPr>
      </w:pPr>
    </w:p>
    <w:p w14:paraId="4832576D" w14:textId="3C8BB5B5" w:rsidR="00A21600" w:rsidRPr="00016D32" w:rsidRDefault="00A21600" w:rsidP="006967C7">
      <w:pPr>
        <w:pStyle w:val="Akapitzlist"/>
        <w:spacing w:after="40" w:line="240" w:lineRule="auto"/>
        <w:jc w:val="both"/>
        <w:rPr>
          <w:rFonts w:cstheme="minorHAnsi"/>
          <w:sz w:val="24"/>
          <w:szCs w:val="24"/>
        </w:rPr>
      </w:pPr>
      <w:r w:rsidRPr="00016D32">
        <w:rPr>
          <w:rFonts w:cstheme="minorHAnsi"/>
          <w:sz w:val="24"/>
          <w:szCs w:val="24"/>
        </w:rPr>
        <w:t>Adwokat z Kancelarii w Rzeszowie w odpowiedzi na pozew złożył o :</w:t>
      </w:r>
    </w:p>
    <w:p w14:paraId="6061FE30" w14:textId="77777777" w:rsidR="00A21600" w:rsidRPr="00016D32" w:rsidRDefault="00A21600" w:rsidP="006967C7">
      <w:pPr>
        <w:pStyle w:val="Akapitzlist"/>
        <w:spacing w:after="40" w:line="240" w:lineRule="auto"/>
        <w:ind w:firstLine="360"/>
        <w:jc w:val="both"/>
        <w:rPr>
          <w:rFonts w:cstheme="minorHAnsi"/>
          <w:sz w:val="24"/>
          <w:szCs w:val="24"/>
        </w:rPr>
      </w:pPr>
      <w:r w:rsidRPr="00016D32">
        <w:rPr>
          <w:rFonts w:cstheme="minorHAnsi"/>
          <w:sz w:val="24"/>
          <w:szCs w:val="24"/>
        </w:rPr>
        <w:t>-  oddalenie powództwa w całości</w:t>
      </w:r>
    </w:p>
    <w:p w14:paraId="2636777B" w14:textId="6B84CAB9" w:rsidR="00A21600" w:rsidRPr="00016D32" w:rsidRDefault="00A21600" w:rsidP="006967C7">
      <w:pPr>
        <w:pStyle w:val="Akapitzlist"/>
        <w:spacing w:after="40" w:line="240" w:lineRule="auto"/>
        <w:ind w:left="1080"/>
        <w:jc w:val="both"/>
        <w:rPr>
          <w:rFonts w:cstheme="minorHAnsi"/>
          <w:sz w:val="24"/>
          <w:szCs w:val="24"/>
        </w:rPr>
      </w:pPr>
      <w:r w:rsidRPr="00016D32">
        <w:rPr>
          <w:rFonts w:cstheme="minorHAnsi"/>
          <w:sz w:val="24"/>
          <w:szCs w:val="24"/>
        </w:rPr>
        <w:t>- podniósł zarzut potrącenia  dochodzonej przez Powoda wierzytelności w wysokości  1 207 806,50 z zł  wynikającą z faktury numer FA/5/01/2019 z przysługującą Pozwanemu wierzytelnością z tytułu kary umownej w wysokości 1 301 447,70  zł oraz 19 719,17 zł  dokonanego na podstawie not księgowych nr 62 z dnia 27 listopada 2018 r.  oraz nr 24 z dnia 29 marca 2019 ro.</w:t>
      </w:r>
    </w:p>
    <w:p w14:paraId="0A731776" w14:textId="4E94851F" w:rsidR="00A21600" w:rsidRPr="00016D32" w:rsidRDefault="00A21600" w:rsidP="006967C7">
      <w:pPr>
        <w:pStyle w:val="Akapitzlist"/>
        <w:spacing w:after="200" w:line="240" w:lineRule="auto"/>
        <w:ind w:left="1080"/>
        <w:jc w:val="both"/>
        <w:rPr>
          <w:rFonts w:cstheme="minorHAnsi"/>
          <w:sz w:val="24"/>
          <w:szCs w:val="24"/>
        </w:rPr>
      </w:pPr>
      <w:r w:rsidRPr="00016D32">
        <w:rPr>
          <w:rFonts w:cstheme="minorHAnsi"/>
          <w:sz w:val="24"/>
          <w:szCs w:val="24"/>
        </w:rPr>
        <w:t xml:space="preserve">- podniósł </w:t>
      </w:r>
      <w:r w:rsidR="006967C7" w:rsidRPr="00016D32">
        <w:rPr>
          <w:rFonts w:cstheme="minorHAnsi"/>
          <w:sz w:val="24"/>
          <w:szCs w:val="24"/>
        </w:rPr>
        <w:t>z</w:t>
      </w:r>
      <w:r w:rsidRPr="00016D32">
        <w:rPr>
          <w:rFonts w:cstheme="minorHAnsi"/>
          <w:sz w:val="24"/>
          <w:szCs w:val="24"/>
        </w:rPr>
        <w:t>arzut potrącenia dochodzonej przez powoda wierzytelności w wysokości 578 421,07 zł z przysługującemu Pozwanemu wierzytelnością wynikającą z bezpośredniej zapłaty wynagrodzenia dalszym podwykonawcom w kwocie 1 035 137,67 zł.</w:t>
      </w:r>
    </w:p>
    <w:p w14:paraId="11CA59F3" w14:textId="7C19F928" w:rsidR="00A21600" w:rsidRPr="00016D32" w:rsidRDefault="00A21600" w:rsidP="006967C7">
      <w:pPr>
        <w:pStyle w:val="Akapitzlist"/>
        <w:spacing w:after="40" w:line="240" w:lineRule="auto"/>
        <w:jc w:val="both"/>
        <w:rPr>
          <w:rFonts w:cstheme="minorHAnsi"/>
          <w:sz w:val="24"/>
          <w:szCs w:val="24"/>
        </w:rPr>
      </w:pPr>
      <w:r w:rsidRPr="00016D32">
        <w:rPr>
          <w:rFonts w:cstheme="minorHAnsi"/>
          <w:sz w:val="24"/>
          <w:szCs w:val="24"/>
        </w:rPr>
        <w:t xml:space="preserve">Obie strony złożyły wnioski o powołanie biegłego </w:t>
      </w:r>
      <w:r w:rsidR="00AC04CA" w:rsidRPr="00016D32">
        <w:rPr>
          <w:rFonts w:cstheme="minorHAnsi"/>
          <w:sz w:val="24"/>
          <w:szCs w:val="24"/>
        </w:rPr>
        <w:t>są</w:t>
      </w:r>
      <w:r w:rsidRPr="00016D32">
        <w:rPr>
          <w:rFonts w:cstheme="minorHAnsi"/>
          <w:sz w:val="24"/>
          <w:szCs w:val="24"/>
        </w:rPr>
        <w:t>dowego.</w:t>
      </w:r>
    </w:p>
    <w:p w14:paraId="76BF5127" w14:textId="32C3E010" w:rsidR="00A21600" w:rsidRPr="00016D32" w:rsidRDefault="006C6774" w:rsidP="006967C7">
      <w:pPr>
        <w:pStyle w:val="Akapitzlist"/>
        <w:spacing w:after="40" w:line="240" w:lineRule="auto"/>
        <w:jc w:val="both"/>
        <w:rPr>
          <w:rFonts w:cstheme="minorHAnsi"/>
          <w:sz w:val="24"/>
          <w:szCs w:val="24"/>
        </w:rPr>
      </w:pPr>
      <w:r w:rsidRPr="00016D32">
        <w:rPr>
          <w:rFonts w:cstheme="minorHAnsi"/>
          <w:sz w:val="24"/>
          <w:szCs w:val="24"/>
        </w:rPr>
        <w:t xml:space="preserve">TTBS złożyło wniosek o zawieszenie postępowania do czasu rozstrzygnięcia sprawy przed Sądem Okręgowym w Rzeszowie pod sygn. Akt VI </w:t>
      </w:r>
      <w:r w:rsidRPr="00016D32">
        <w:rPr>
          <w:rFonts w:cstheme="minorHAnsi"/>
          <w:b/>
          <w:bCs/>
          <w:sz w:val="24"/>
          <w:szCs w:val="24"/>
        </w:rPr>
        <w:t xml:space="preserve">GC </w:t>
      </w:r>
      <w:r w:rsidR="00C9358D" w:rsidRPr="00016D32">
        <w:rPr>
          <w:rFonts w:cstheme="minorHAnsi"/>
          <w:b/>
          <w:bCs/>
          <w:sz w:val="24"/>
          <w:szCs w:val="24"/>
        </w:rPr>
        <w:t>218/23</w:t>
      </w:r>
      <w:r w:rsidR="00282B03" w:rsidRPr="00016D32">
        <w:rPr>
          <w:rFonts w:cstheme="minorHAnsi"/>
          <w:b/>
          <w:bCs/>
          <w:sz w:val="24"/>
          <w:szCs w:val="24"/>
        </w:rPr>
        <w:t xml:space="preserve"> (TTBS przeciw </w:t>
      </w:r>
      <w:proofErr w:type="spellStart"/>
      <w:r w:rsidR="00282B03" w:rsidRPr="00016D32">
        <w:rPr>
          <w:rFonts w:cstheme="minorHAnsi"/>
          <w:b/>
          <w:bCs/>
          <w:sz w:val="24"/>
          <w:szCs w:val="24"/>
        </w:rPr>
        <w:t>MarCom</w:t>
      </w:r>
      <w:proofErr w:type="spellEnd"/>
      <w:r w:rsidR="008B49CE" w:rsidRPr="00016D32">
        <w:rPr>
          <w:rFonts w:cstheme="minorHAnsi"/>
          <w:b/>
          <w:bCs/>
          <w:sz w:val="24"/>
          <w:szCs w:val="24"/>
        </w:rPr>
        <w:br/>
      </w:r>
      <w:r w:rsidR="00282B03" w:rsidRPr="00016D32">
        <w:rPr>
          <w:rFonts w:cstheme="minorHAnsi"/>
          <w:b/>
          <w:bCs/>
          <w:sz w:val="24"/>
          <w:szCs w:val="24"/>
        </w:rPr>
        <w:t xml:space="preserve"> o kwotę 113 360,37 zł)</w:t>
      </w:r>
      <w:r w:rsidR="00002536" w:rsidRPr="00016D32">
        <w:rPr>
          <w:rFonts w:cstheme="minorHAnsi"/>
          <w:sz w:val="24"/>
          <w:szCs w:val="24"/>
        </w:rPr>
        <w:t xml:space="preserve">.  </w:t>
      </w:r>
    </w:p>
    <w:p w14:paraId="77BEE02F" w14:textId="77777777" w:rsidR="00AC04CA" w:rsidRPr="00016D32" w:rsidRDefault="00AC04CA" w:rsidP="006967C7">
      <w:pPr>
        <w:spacing w:line="240" w:lineRule="auto"/>
        <w:jc w:val="both"/>
        <w:rPr>
          <w:rFonts w:cstheme="minorHAnsi"/>
          <w:sz w:val="24"/>
          <w:szCs w:val="24"/>
        </w:rPr>
      </w:pPr>
      <w:r w:rsidRPr="00016D32">
        <w:rPr>
          <w:rFonts w:cstheme="minorHAnsi"/>
          <w:sz w:val="24"/>
          <w:szCs w:val="24"/>
        </w:rPr>
        <w:t>Postanowieniem Sądu z dnia 26 września 2023 roku w sprawie  sygn. Akt VI GC 79/23 Sąd zawiesił postępowanie do czasu prawomocnego rozstrzygnięcia w sprawie toczącej się przed Sądem Okręgowym w Rzeszowie pod. sygn. Akt VI 218/23.</w:t>
      </w:r>
    </w:p>
    <w:p w14:paraId="70AB667A" w14:textId="77777777" w:rsidR="00AC04CA" w:rsidRPr="00016D32" w:rsidRDefault="00AC04CA" w:rsidP="00AC04CA">
      <w:pPr>
        <w:spacing w:line="240" w:lineRule="auto"/>
        <w:rPr>
          <w:rFonts w:cstheme="minorHAnsi"/>
          <w:b/>
          <w:bCs/>
          <w:sz w:val="24"/>
          <w:szCs w:val="24"/>
        </w:rPr>
      </w:pPr>
    </w:p>
    <w:p w14:paraId="7A875CD0" w14:textId="25EF3F78" w:rsidR="00AC04CA" w:rsidRPr="00016D32" w:rsidRDefault="00AC04CA" w:rsidP="006967C7">
      <w:pPr>
        <w:spacing w:line="240" w:lineRule="auto"/>
        <w:jc w:val="both"/>
        <w:rPr>
          <w:rFonts w:cstheme="minorHAnsi"/>
          <w:sz w:val="24"/>
          <w:szCs w:val="24"/>
        </w:rPr>
      </w:pPr>
      <w:r w:rsidRPr="00016D32">
        <w:rPr>
          <w:rFonts w:cstheme="minorHAnsi"/>
          <w:sz w:val="24"/>
          <w:szCs w:val="24"/>
        </w:rPr>
        <w:lastRenderedPageBreak/>
        <w:t xml:space="preserve">Pismem z dnia 17 października 2023 r. pełnomocnik TTBS złożył w Sądzie Okręgowym w Rzeszowie VI Wydział Gospodarczy w sprawie </w:t>
      </w:r>
      <w:proofErr w:type="spellStart"/>
      <w:r w:rsidRPr="00016D32">
        <w:rPr>
          <w:rFonts w:cstheme="minorHAnsi"/>
          <w:sz w:val="24"/>
          <w:szCs w:val="24"/>
        </w:rPr>
        <w:t>syg</w:t>
      </w:r>
      <w:proofErr w:type="spellEnd"/>
      <w:r w:rsidRPr="00016D32">
        <w:rPr>
          <w:rFonts w:cstheme="minorHAnsi"/>
          <w:sz w:val="24"/>
          <w:szCs w:val="24"/>
        </w:rPr>
        <w:t xml:space="preserve">. Akt. VI GC 79/23 PISMO PEŁNOMOCNIKA POZWANEGO </w:t>
      </w:r>
      <w:r w:rsidR="008B49CE" w:rsidRPr="00016D32">
        <w:rPr>
          <w:rFonts w:cstheme="minorHAnsi"/>
          <w:sz w:val="24"/>
          <w:szCs w:val="24"/>
        </w:rPr>
        <w:br/>
      </w:r>
      <w:r w:rsidRPr="00016D32">
        <w:rPr>
          <w:rFonts w:cstheme="minorHAnsi"/>
          <w:sz w:val="24"/>
          <w:szCs w:val="24"/>
        </w:rPr>
        <w:t xml:space="preserve"> w którym :</w:t>
      </w:r>
    </w:p>
    <w:p w14:paraId="36009990" w14:textId="66629271" w:rsidR="00AC04CA" w:rsidRPr="00016D32" w:rsidRDefault="00AC04CA" w:rsidP="006967C7">
      <w:pPr>
        <w:spacing w:line="240" w:lineRule="auto"/>
        <w:jc w:val="both"/>
        <w:rPr>
          <w:rFonts w:cstheme="minorHAnsi"/>
          <w:sz w:val="24"/>
          <w:szCs w:val="24"/>
        </w:rPr>
      </w:pPr>
      <w:r w:rsidRPr="00016D32">
        <w:rPr>
          <w:rFonts w:cstheme="minorHAnsi"/>
          <w:sz w:val="24"/>
          <w:szCs w:val="24"/>
        </w:rPr>
        <w:t>Podnosi ewentualny zarzut potrącenia wierzytelności dochodzonej przez Powoda w niniejszym postępowaniu z wierzytelnością Strony Pozwanej przeciwko Powodowi w kwocie 963 484,41 zł,</w:t>
      </w:r>
      <w:r w:rsidR="008B49CE" w:rsidRPr="00016D32">
        <w:rPr>
          <w:rFonts w:cstheme="minorHAnsi"/>
          <w:sz w:val="24"/>
          <w:szCs w:val="24"/>
        </w:rPr>
        <w:br/>
      </w:r>
      <w:r w:rsidRPr="00016D32">
        <w:rPr>
          <w:rFonts w:cstheme="minorHAnsi"/>
          <w:sz w:val="24"/>
          <w:szCs w:val="24"/>
        </w:rPr>
        <w:t xml:space="preserve"> z tytułu dokonania przez Pozwanego spłaty Podwykonawcy ABM Solid S.A. w upadłości likwidacyjnej, z którym to podwykonawcą </w:t>
      </w:r>
      <w:proofErr w:type="spellStart"/>
      <w:r w:rsidRPr="00016D32">
        <w:rPr>
          <w:rFonts w:cstheme="minorHAnsi"/>
          <w:sz w:val="24"/>
          <w:szCs w:val="24"/>
        </w:rPr>
        <w:t>MarCom</w:t>
      </w:r>
      <w:proofErr w:type="spellEnd"/>
      <w:r w:rsidRPr="00016D32">
        <w:rPr>
          <w:rFonts w:cstheme="minorHAnsi"/>
          <w:sz w:val="24"/>
          <w:szCs w:val="24"/>
        </w:rPr>
        <w:t xml:space="preserve"> Sp. z o.o. zawarł umowę podwykonawczą dnia 5 czerwca 2017 r. i należnego wynagrodzenia nie uregulował.</w:t>
      </w:r>
    </w:p>
    <w:p w14:paraId="5B6A66EA" w14:textId="77777777" w:rsidR="00AC04CA" w:rsidRPr="00016D32" w:rsidRDefault="00AC04CA" w:rsidP="00AC04CA">
      <w:pPr>
        <w:spacing w:after="40" w:line="240" w:lineRule="auto"/>
        <w:jc w:val="both"/>
        <w:rPr>
          <w:rFonts w:cstheme="minorHAnsi"/>
          <w:sz w:val="24"/>
          <w:szCs w:val="24"/>
        </w:rPr>
      </w:pPr>
    </w:p>
    <w:p w14:paraId="457E3F80" w14:textId="656E2FA8" w:rsidR="00282B03" w:rsidRPr="00016D32" w:rsidRDefault="002D0FE5" w:rsidP="00AC04CA">
      <w:pPr>
        <w:spacing w:after="40" w:line="240" w:lineRule="auto"/>
        <w:jc w:val="both"/>
        <w:rPr>
          <w:rFonts w:cstheme="minorHAnsi"/>
          <w:sz w:val="24"/>
          <w:szCs w:val="24"/>
        </w:rPr>
      </w:pPr>
      <w:r w:rsidRPr="00016D32">
        <w:rPr>
          <w:rFonts w:cstheme="minorHAnsi"/>
          <w:b/>
          <w:bCs/>
          <w:sz w:val="24"/>
          <w:szCs w:val="24"/>
        </w:rPr>
        <w:t>Spółka nie utworzyła rezerwy na przedmiotowe roszczenie</w:t>
      </w:r>
      <w:r w:rsidR="00282B03" w:rsidRPr="00016D32">
        <w:rPr>
          <w:rFonts w:cstheme="minorHAnsi"/>
          <w:b/>
          <w:bCs/>
          <w:sz w:val="24"/>
          <w:szCs w:val="24"/>
        </w:rPr>
        <w:t xml:space="preserve"> i nie posiada płynności finansowej na spełnienia przedmiotowego roszczenia.</w:t>
      </w:r>
    </w:p>
    <w:bookmarkEnd w:id="5"/>
    <w:p w14:paraId="2EC0499B" w14:textId="4574BE1C" w:rsidR="00561D65" w:rsidRPr="00016D32" w:rsidRDefault="00561D65" w:rsidP="001244B9">
      <w:pPr>
        <w:spacing w:after="40"/>
        <w:jc w:val="both"/>
        <w:rPr>
          <w:rFonts w:cstheme="minorHAnsi"/>
          <w:sz w:val="24"/>
          <w:szCs w:val="24"/>
        </w:rPr>
      </w:pPr>
    </w:p>
    <w:p w14:paraId="20A160ED" w14:textId="2AAE1E13" w:rsidR="00561D65" w:rsidRPr="00016D32" w:rsidRDefault="000C4ACB" w:rsidP="001244B9">
      <w:pPr>
        <w:spacing w:after="40"/>
        <w:jc w:val="both"/>
        <w:rPr>
          <w:rFonts w:cstheme="minorHAnsi"/>
          <w:b/>
          <w:bCs/>
          <w:sz w:val="24"/>
          <w:szCs w:val="24"/>
        </w:rPr>
      </w:pPr>
      <w:r w:rsidRPr="00016D32">
        <w:rPr>
          <w:rFonts w:cstheme="minorHAnsi"/>
          <w:b/>
          <w:bCs/>
          <w:sz w:val="24"/>
          <w:szCs w:val="24"/>
        </w:rPr>
        <w:t xml:space="preserve">VI. </w:t>
      </w:r>
      <w:r w:rsidR="00561D65" w:rsidRPr="00016D32">
        <w:rPr>
          <w:rFonts w:cstheme="minorHAnsi"/>
          <w:b/>
          <w:bCs/>
          <w:sz w:val="24"/>
          <w:szCs w:val="24"/>
        </w:rPr>
        <w:t xml:space="preserve"> </w:t>
      </w:r>
      <w:r w:rsidRPr="00016D32">
        <w:rPr>
          <w:rFonts w:cstheme="minorHAnsi"/>
          <w:b/>
          <w:bCs/>
          <w:sz w:val="24"/>
          <w:szCs w:val="24"/>
        </w:rPr>
        <w:t>P</w:t>
      </w:r>
      <w:r w:rsidR="00561D65" w:rsidRPr="00016D32">
        <w:rPr>
          <w:rFonts w:cstheme="minorHAnsi"/>
          <w:b/>
          <w:bCs/>
          <w:sz w:val="24"/>
          <w:szCs w:val="24"/>
        </w:rPr>
        <w:t>ostępowania zgłoszone przez Spółkę</w:t>
      </w:r>
      <w:r w:rsidRPr="00016D32">
        <w:rPr>
          <w:rFonts w:cstheme="minorHAnsi"/>
          <w:b/>
          <w:bCs/>
          <w:sz w:val="24"/>
          <w:szCs w:val="24"/>
        </w:rPr>
        <w:t xml:space="preserve"> do Prokuratury</w:t>
      </w:r>
    </w:p>
    <w:p w14:paraId="0F5A0F32" w14:textId="6E98ED90" w:rsidR="00561D65" w:rsidRPr="00016D32" w:rsidRDefault="00561D65" w:rsidP="001244B9">
      <w:pPr>
        <w:spacing w:after="40"/>
        <w:jc w:val="both"/>
        <w:rPr>
          <w:rFonts w:cstheme="minorHAnsi"/>
          <w:b/>
          <w:bCs/>
          <w:sz w:val="24"/>
          <w:szCs w:val="24"/>
        </w:rPr>
      </w:pPr>
      <w:r w:rsidRPr="00016D32">
        <w:rPr>
          <w:rFonts w:cstheme="minorHAnsi"/>
          <w:sz w:val="24"/>
          <w:szCs w:val="24"/>
        </w:rPr>
        <w:t>TTBS Sp. z o.o. złożyła zawiadomienia  do Prokuratury Rejonowej w Tarnobrzegu o przestępstwo</w:t>
      </w:r>
      <w:r w:rsidR="008B49CE" w:rsidRPr="00016D32">
        <w:rPr>
          <w:rFonts w:cstheme="minorHAnsi"/>
          <w:sz w:val="24"/>
          <w:szCs w:val="24"/>
        </w:rPr>
        <w:br/>
      </w:r>
      <w:r w:rsidRPr="00016D32">
        <w:rPr>
          <w:rFonts w:cstheme="minorHAnsi"/>
          <w:sz w:val="24"/>
          <w:szCs w:val="24"/>
        </w:rPr>
        <w:t xml:space="preserve"> z art. 296  § 1 kodeksu karnego zgodnie z którym kto będąc obowiązany na podstawie przepisu ustawy, decyzji właściwego organu lub umowy do zajmowania się sprawami majątkowymi lub działalnością gospodarczą osoby fizycznej, prawnej, przez nadużycie udzielonych mu uprawnień lub nie dopełnienie ciążącego na nim obowiązku wyrządza jej szkodę majątkową, podlega karze pozbawienia wolności od trzech miesięcy do lat 5.</w:t>
      </w:r>
    </w:p>
    <w:p w14:paraId="69B58F24" w14:textId="1F778B93" w:rsidR="00561D65" w:rsidRPr="00016D32" w:rsidRDefault="00561D65" w:rsidP="006967C7">
      <w:pPr>
        <w:pStyle w:val="Akapitzlist"/>
        <w:numPr>
          <w:ilvl w:val="0"/>
          <w:numId w:val="10"/>
        </w:numPr>
        <w:spacing w:after="40" w:line="240" w:lineRule="auto"/>
        <w:jc w:val="both"/>
        <w:rPr>
          <w:rFonts w:cstheme="minorHAnsi"/>
          <w:sz w:val="24"/>
          <w:szCs w:val="24"/>
        </w:rPr>
      </w:pPr>
      <w:r w:rsidRPr="00016D32">
        <w:rPr>
          <w:rFonts w:cstheme="minorHAnsi"/>
          <w:sz w:val="24"/>
          <w:szCs w:val="24"/>
        </w:rPr>
        <w:t>w dniu 7.05.2024r. złożono zawiadomienie o popełnienie przestępstwa o czyn jak wyżej wobec Członka Zarządu  będącego w okresie od 01.07.2012 roku do 31.05.2015 roku Prezesem Tarnobrzeskiego Towarzystwa Budownictwa Społecznego Spółka z o.o.</w:t>
      </w:r>
      <w:r w:rsidR="008B49CE" w:rsidRPr="00016D32">
        <w:rPr>
          <w:rFonts w:cstheme="minorHAnsi"/>
          <w:sz w:val="24"/>
          <w:szCs w:val="24"/>
        </w:rPr>
        <w:br/>
      </w:r>
      <w:r w:rsidRPr="00016D32">
        <w:rPr>
          <w:rFonts w:cstheme="minorHAnsi"/>
          <w:sz w:val="24"/>
          <w:szCs w:val="24"/>
        </w:rPr>
        <w:t xml:space="preserve"> w zakresie realizacji inwestycji polegającej na budowie budynku wielomieszkaniowego przy ul. Kopernika 25 w Tarnobrzegu  oraz budowie dziesięciu domów jednorodzinnych na osiedlu Ocice w Tarnobrzegu. W dniu 4.07.2024r. wpłynęło do Spółki pismo </w:t>
      </w:r>
      <w:r w:rsidR="008B49CE" w:rsidRPr="00016D32">
        <w:rPr>
          <w:rFonts w:cstheme="minorHAnsi"/>
          <w:sz w:val="24"/>
          <w:szCs w:val="24"/>
        </w:rPr>
        <w:br/>
      </w:r>
      <w:r w:rsidRPr="00016D32">
        <w:rPr>
          <w:rFonts w:cstheme="minorHAnsi"/>
          <w:sz w:val="24"/>
          <w:szCs w:val="24"/>
        </w:rPr>
        <w:t>z Komendy Miejskiej Policji w Tarnobrzegu o przesłanie pełnej kopi dokumentacji związanej z realizacją w/w przedsięwzięć wraz z sprawozdaniami finansowymi TTBS Sp. z o.o. za lata 2014-201</w:t>
      </w:r>
      <w:r w:rsidR="002B0565" w:rsidRPr="00016D32">
        <w:rPr>
          <w:rFonts w:cstheme="minorHAnsi"/>
          <w:sz w:val="24"/>
          <w:szCs w:val="24"/>
        </w:rPr>
        <w:t>9</w:t>
      </w:r>
      <w:r w:rsidRPr="00016D32">
        <w:rPr>
          <w:rFonts w:cstheme="minorHAnsi"/>
          <w:sz w:val="24"/>
          <w:szCs w:val="24"/>
        </w:rPr>
        <w:t>.</w:t>
      </w:r>
    </w:p>
    <w:p w14:paraId="231E2CFE" w14:textId="4663E853" w:rsidR="00C74AAD" w:rsidRPr="00016D32" w:rsidRDefault="00C74AAD" w:rsidP="006967C7">
      <w:pPr>
        <w:pStyle w:val="Akapitzlist"/>
        <w:spacing w:after="40" w:line="240" w:lineRule="auto"/>
        <w:ind w:left="1080"/>
        <w:jc w:val="both"/>
        <w:rPr>
          <w:rFonts w:cstheme="minorHAnsi"/>
          <w:sz w:val="24"/>
          <w:szCs w:val="24"/>
        </w:rPr>
      </w:pPr>
      <w:r w:rsidRPr="00016D32">
        <w:rPr>
          <w:rFonts w:cstheme="minorHAnsi"/>
          <w:sz w:val="24"/>
          <w:szCs w:val="24"/>
        </w:rPr>
        <w:t>W dniu 6 sierpnia 2024 roku Prokurator wydał Postanowienie  o odmowie wszczęcia śledztwa  wobec stwierdzenia, że zachodzi inna okoliczność wyłączająca ściganie polegająca na ko</w:t>
      </w:r>
      <w:r w:rsidR="002B0565" w:rsidRPr="00016D32">
        <w:rPr>
          <w:rFonts w:cstheme="minorHAnsi"/>
          <w:sz w:val="24"/>
          <w:szCs w:val="24"/>
        </w:rPr>
        <w:t>nsumpcji skargi publicznej, na podstawie art. 17 § 1 pkt 11 k.p.k.</w:t>
      </w:r>
    </w:p>
    <w:p w14:paraId="00F00129" w14:textId="77777777" w:rsidR="00561D65" w:rsidRPr="00016D32" w:rsidRDefault="00561D65" w:rsidP="006967C7">
      <w:pPr>
        <w:pStyle w:val="Akapitzlist"/>
        <w:spacing w:after="40" w:line="240" w:lineRule="auto"/>
        <w:ind w:left="1080"/>
        <w:jc w:val="both"/>
        <w:rPr>
          <w:rFonts w:cstheme="minorHAnsi"/>
          <w:sz w:val="24"/>
          <w:szCs w:val="24"/>
        </w:rPr>
      </w:pPr>
    </w:p>
    <w:p w14:paraId="1477BCDF" w14:textId="48323E00" w:rsidR="00F40BE0" w:rsidRPr="00016D32" w:rsidRDefault="00561D65" w:rsidP="006967C7">
      <w:pPr>
        <w:pStyle w:val="Akapitzlist"/>
        <w:numPr>
          <w:ilvl w:val="0"/>
          <w:numId w:val="10"/>
        </w:numPr>
        <w:spacing w:after="40" w:line="240" w:lineRule="auto"/>
        <w:jc w:val="both"/>
        <w:rPr>
          <w:rFonts w:cstheme="minorHAnsi"/>
          <w:sz w:val="24"/>
          <w:szCs w:val="24"/>
        </w:rPr>
      </w:pPr>
      <w:r w:rsidRPr="00016D32">
        <w:rPr>
          <w:rFonts w:cstheme="minorHAnsi"/>
          <w:sz w:val="24"/>
          <w:szCs w:val="24"/>
        </w:rPr>
        <w:t>w dniu 27.06.2024r. złożono zawiadomienie o popełnienie przestępstwa o czyn jak wyżej wobec Członka Zarządu będącego  w okresie od 11.12.2015 roku do 23.01.2019 roku Prezesem Tarnobrzeskiego Towarzystwa Budownictwa Społecznego Spółka z o.o. w zakresie realizacji inwestycji polegającej na budowie budynku wielomieszkaniowego przy ul. Św. Barbary 9b.</w:t>
      </w:r>
    </w:p>
    <w:p w14:paraId="3AEE2550" w14:textId="77777777" w:rsidR="008B49CE" w:rsidRPr="00016D32" w:rsidRDefault="008B49CE" w:rsidP="008B49CE">
      <w:pPr>
        <w:pStyle w:val="Akapitzlist"/>
        <w:spacing w:after="40" w:line="240" w:lineRule="auto"/>
        <w:ind w:left="1080"/>
        <w:rPr>
          <w:rFonts w:cstheme="minorHAnsi"/>
          <w:sz w:val="24"/>
          <w:szCs w:val="24"/>
        </w:rPr>
      </w:pPr>
    </w:p>
    <w:p w14:paraId="116A94D5" w14:textId="50640402" w:rsidR="00887032" w:rsidRPr="00016D32" w:rsidRDefault="000C4ACB" w:rsidP="000C4ACB">
      <w:pPr>
        <w:spacing w:after="40" w:line="240" w:lineRule="auto"/>
        <w:jc w:val="both"/>
        <w:rPr>
          <w:rFonts w:cstheme="minorHAnsi"/>
          <w:b/>
          <w:bCs/>
          <w:sz w:val="24"/>
          <w:szCs w:val="24"/>
        </w:rPr>
      </w:pPr>
      <w:r w:rsidRPr="00016D32">
        <w:rPr>
          <w:rFonts w:cstheme="minorHAnsi"/>
          <w:b/>
          <w:bCs/>
          <w:sz w:val="24"/>
          <w:szCs w:val="24"/>
        </w:rPr>
        <w:t xml:space="preserve">VII. </w:t>
      </w:r>
      <w:r w:rsidR="00887032" w:rsidRPr="00016D32">
        <w:rPr>
          <w:rFonts w:cstheme="minorHAnsi"/>
          <w:b/>
          <w:bCs/>
          <w:sz w:val="24"/>
          <w:szCs w:val="24"/>
        </w:rPr>
        <w:t>Analiza możliwości zwiększenia przychodu Spółki w 2025 roku, w celu rozłożenia  kosztów stałych na większy zakres prowadzonych działalności:</w:t>
      </w:r>
    </w:p>
    <w:p w14:paraId="597B119A" w14:textId="0904F6CF" w:rsidR="00BB4B75" w:rsidRPr="00016D32" w:rsidRDefault="00BB4B75" w:rsidP="00781B83">
      <w:pPr>
        <w:pStyle w:val="Akapitzlist"/>
        <w:numPr>
          <w:ilvl w:val="0"/>
          <w:numId w:val="4"/>
        </w:numPr>
        <w:spacing w:after="40" w:line="240" w:lineRule="auto"/>
        <w:jc w:val="both"/>
        <w:rPr>
          <w:rFonts w:cstheme="minorHAnsi"/>
          <w:sz w:val="24"/>
          <w:szCs w:val="24"/>
        </w:rPr>
      </w:pPr>
      <w:r w:rsidRPr="00016D32">
        <w:rPr>
          <w:rFonts w:cstheme="minorHAnsi"/>
          <w:sz w:val="24"/>
          <w:szCs w:val="24"/>
        </w:rPr>
        <w:t>Urealnienie oferty na zarządzanie zasobem nieruchomości Miasta Tarnobrzega,</w:t>
      </w:r>
    </w:p>
    <w:p w14:paraId="191D97CC" w14:textId="0FF6C58A" w:rsidR="00BB4B75" w:rsidRPr="00016D32" w:rsidRDefault="00887032" w:rsidP="00BB4B75">
      <w:pPr>
        <w:pStyle w:val="Akapitzlist"/>
        <w:numPr>
          <w:ilvl w:val="0"/>
          <w:numId w:val="4"/>
        </w:numPr>
        <w:spacing w:after="40" w:line="240" w:lineRule="auto"/>
        <w:jc w:val="both"/>
        <w:rPr>
          <w:rFonts w:cstheme="minorHAnsi"/>
          <w:sz w:val="24"/>
          <w:szCs w:val="24"/>
        </w:rPr>
      </w:pPr>
      <w:r w:rsidRPr="00016D32">
        <w:rPr>
          <w:rFonts w:cstheme="minorHAnsi"/>
          <w:sz w:val="24"/>
          <w:szCs w:val="24"/>
        </w:rPr>
        <w:t xml:space="preserve">Udział w postępowaniu na </w:t>
      </w:r>
      <w:r w:rsidRPr="00016D32">
        <w:rPr>
          <w:rFonts w:cstheme="minorHAnsi"/>
          <w:sz w:val="24"/>
          <w:szCs w:val="24"/>
          <w:shd w:val="clear" w:color="auto" w:fill="FFFFFF"/>
        </w:rPr>
        <w:t xml:space="preserve"> „Zarządzanie Jeziorem Tarnobrzeskim wchodzącym w skład zasobu nieruchomości Miasta Tarnobrzega wraz z wykonywaniem sezonowych prac porządkowych”</w:t>
      </w:r>
      <w:r w:rsidR="00BB4B75" w:rsidRPr="00016D32">
        <w:rPr>
          <w:rFonts w:cstheme="minorHAnsi"/>
          <w:sz w:val="24"/>
          <w:szCs w:val="24"/>
          <w:shd w:val="clear" w:color="auto" w:fill="FFFFFF"/>
        </w:rPr>
        <w:t>,</w:t>
      </w:r>
    </w:p>
    <w:p w14:paraId="3F9F5F3C" w14:textId="4A81574C" w:rsidR="00BB4B75" w:rsidRPr="00016D32" w:rsidRDefault="0018124B" w:rsidP="00BB4B75">
      <w:pPr>
        <w:pStyle w:val="Akapitzlist"/>
        <w:numPr>
          <w:ilvl w:val="0"/>
          <w:numId w:val="4"/>
        </w:numPr>
        <w:spacing w:after="40" w:line="240" w:lineRule="auto"/>
        <w:jc w:val="both"/>
        <w:rPr>
          <w:rFonts w:cstheme="minorHAnsi"/>
          <w:sz w:val="24"/>
          <w:szCs w:val="24"/>
        </w:rPr>
      </w:pPr>
      <w:r w:rsidRPr="00016D32">
        <w:rPr>
          <w:rFonts w:cstheme="minorHAnsi"/>
          <w:sz w:val="24"/>
          <w:szCs w:val="24"/>
        </w:rPr>
        <w:lastRenderedPageBreak/>
        <w:t>Pozyskiwanie nowych wspólnot do obsługi administracyjnej.</w:t>
      </w:r>
      <w:r w:rsidR="000D3F7B" w:rsidRPr="00016D32">
        <w:rPr>
          <w:rFonts w:cstheme="minorHAnsi"/>
          <w:sz w:val="24"/>
          <w:szCs w:val="24"/>
        </w:rPr>
        <w:t xml:space="preserve"> </w:t>
      </w:r>
      <w:r w:rsidRPr="00016D32">
        <w:rPr>
          <w:rFonts w:cstheme="minorHAnsi"/>
          <w:sz w:val="24"/>
          <w:szCs w:val="24"/>
        </w:rPr>
        <w:t xml:space="preserve">Spółka  </w:t>
      </w:r>
      <w:r w:rsidR="006A398A" w:rsidRPr="00016D32">
        <w:rPr>
          <w:rFonts w:cstheme="minorHAnsi"/>
          <w:sz w:val="24"/>
          <w:szCs w:val="24"/>
        </w:rPr>
        <w:t xml:space="preserve">będzie </w:t>
      </w:r>
      <w:r w:rsidRPr="00016D32">
        <w:rPr>
          <w:rFonts w:cstheme="minorHAnsi"/>
          <w:sz w:val="24"/>
          <w:szCs w:val="24"/>
        </w:rPr>
        <w:t>rozszerzyć swoje usługi na terenie miasta Sandomierza</w:t>
      </w:r>
      <w:r w:rsidR="006A398A" w:rsidRPr="00016D32">
        <w:rPr>
          <w:rFonts w:cstheme="minorHAnsi"/>
          <w:sz w:val="24"/>
          <w:szCs w:val="24"/>
        </w:rPr>
        <w:t xml:space="preserve"> (złożono 3 oferty na zarządzanie wspólnotami mieszkaniowymi w tym mieście),</w:t>
      </w:r>
    </w:p>
    <w:p w14:paraId="79F71C02" w14:textId="5EFEDB85" w:rsidR="00717BDB" w:rsidRPr="00016D32" w:rsidRDefault="00BB4B75" w:rsidP="00BB4B75">
      <w:pPr>
        <w:pStyle w:val="Akapitzlist"/>
        <w:numPr>
          <w:ilvl w:val="0"/>
          <w:numId w:val="4"/>
        </w:numPr>
        <w:spacing w:after="40" w:line="240" w:lineRule="auto"/>
        <w:jc w:val="both"/>
        <w:rPr>
          <w:rFonts w:cstheme="minorHAnsi"/>
          <w:sz w:val="24"/>
          <w:szCs w:val="24"/>
        </w:rPr>
      </w:pPr>
      <w:r w:rsidRPr="00016D32">
        <w:rPr>
          <w:rFonts w:cstheme="minorHAnsi"/>
          <w:sz w:val="24"/>
          <w:szCs w:val="24"/>
        </w:rPr>
        <w:t xml:space="preserve">Regulacja  </w:t>
      </w:r>
      <w:r w:rsidR="00717BDB" w:rsidRPr="00016D32">
        <w:rPr>
          <w:rFonts w:cstheme="minorHAnsi"/>
          <w:sz w:val="24"/>
          <w:szCs w:val="24"/>
        </w:rPr>
        <w:t>stawek czynszu w zasobach TTBS Spółka z o.o.</w:t>
      </w:r>
      <w:r w:rsidR="00427170" w:rsidRPr="00016D32">
        <w:rPr>
          <w:rFonts w:cstheme="minorHAnsi"/>
          <w:sz w:val="24"/>
          <w:szCs w:val="24"/>
        </w:rPr>
        <w:t xml:space="preserve"> .</w:t>
      </w:r>
    </w:p>
    <w:p w14:paraId="5433AACD" w14:textId="77777777" w:rsidR="00427170" w:rsidRPr="00016D32" w:rsidRDefault="00427170" w:rsidP="00427170">
      <w:pPr>
        <w:spacing w:after="40" w:line="240" w:lineRule="auto"/>
        <w:jc w:val="both"/>
        <w:rPr>
          <w:rFonts w:cstheme="minorHAnsi"/>
          <w:sz w:val="24"/>
          <w:szCs w:val="24"/>
        </w:rPr>
      </w:pPr>
    </w:p>
    <w:p w14:paraId="59B5741F" w14:textId="60D64092" w:rsidR="00A20AE0" w:rsidRPr="00016D32" w:rsidRDefault="006A398A" w:rsidP="007205A7">
      <w:pPr>
        <w:spacing w:after="40" w:line="240" w:lineRule="auto"/>
        <w:ind w:left="284"/>
        <w:jc w:val="both"/>
        <w:rPr>
          <w:rFonts w:cstheme="minorHAnsi"/>
          <w:b/>
          <w:bCs/>
          <w:sz w:val="24"/>
          <w:szCs w:val="24"/>
        </w:rPr>
      </w:pPr>
      <w:r w:rsidRPr="00016D32">
        <w:rPr>
          <w:rFonts w:cstheme="minorHAnsi"/>
          <w:b/>
          <w:bCs/>
          <w:sz w:val="24"/>
          <w:szCs w:val="24"/>
        </w:rPr>
        <w:t>VIII. Wzmocnienie sytuacji finansowej spółki w celu kontynuacji budownictwa mieszkaniowe</w:t>
      </w:r>
      <w:r w:rsidR="00AC04CA" w:rsidRPr="00016D32">
        <w:rPr>
          <w:rFonts w:cstheme="minorHAnsi"/>
          <w:b/>
          <w:bCs/>
          <w:sz w:val="24"/>
          <w:szCs w:val="24"/>
        </w:rPr>
        <w:t>g</w:t>
      </w:r>
      <w:r w:rsidRPr="00016D32">
        <w:rPr>
          <w:rFonts w:cstheme="minorHAnsi"/>
          <w:b/>
          <w:bCs/>
          <w:sz w:val="24"/>
          <w:szCs w:val="24"/>
        </w:rPr>
        <w:t>o z wykorzystaniem preferencyjnych kredytów z BGK.</w:t>
      </w:r>
    </w:p>
    <w:p w14:paraId="56DCA9F7" w14:textId="77777777" w:rsidR="001C2C25" w:rsidRPr="00016D32" w:rsidRDefault="001C2C25" w:rsidP="007205A7">
      <w:pPr>
        <w:spacing w:after="40" w:line="240" w:lineRule="auto"/>
        <w:ind w:left="284"/>
        <w:jc w:val="both"/>
        <w:rPr>
          <w:rFonts w:cstheme="minorHAnsi"/>
          <w:b/>
          <w:bCs/>
          <w:sz w:val="24"/>
          <w:szCs w:val="24"/>
        </w:rPr>
      </w:pPr>
    </w:p>
    <w:p w14:paraId="19A003D9" w14:textId="033BAAD7" w:rsidR="001C2C25" w:rsidRPr="00016D32" w:rsidRDefault="001C2C25" w:rsidP="007205A7">
      <w:pPr>
        <w:spacing w:after="40" w:line="240" w:lineRule="auto"/>
        <w:ind w:left="284"/>
        <w:jc w:val="both"/>
        <w:rPr>
          <w:rFonts w:cstheme="minorHAnsi"/>
          <w:sz w:val="24"/>
          <w:szCs w:val="24"/>
        </w:rPr>
      </w:pPr>
      <w:r w:rsidRPr="00016D32">
        <w:rPr>
          <w:rFonts w:cstheme="minorHAnsi"/>
          <w:sz w:val="24"/>
          <w:szCs w:val="24"/>
        </w:rPr>
        <w:t>Realizacja nowych inwestycji nie będzie możliwa bez zapewnienia stabilnej sytuacji finansowej spółki. Jest to możliwe poprzez:</w:t>
      </w:r>
    </w:p>
    <w:p w14:paraId="12C7D243" w14:textId="1280D3F0" w:rsidR="001C2C25" w:rsidRPr="00016D32" w:rsidRDefault="001C2C25" w:rsidP="007205A7">
      <w:pPr>
        <w:spacing w:after="40" w:line="240" w:lineRule="auto"/>
        <w:ind w:left="284"/>
        <w:jc w:val="both"/>
        <w:rPr>
          <w:rFonts w:cstheme="minorHAnsi"/>
          <w:sz w:val="24"/>
          <w:szCs w:val="24"/>
        </w:rPr>
      </w:pPr>
      <w:r w:rsidRPr="00016D32">
        <w:rPr>
          <w:rFonts w:cstheme="minorHAnsi"/>
          <w:sz w:val="24"/>
          <w:szCs w:val="24"/>
        </w:rPr>
        <w:t xml:space="preserve">- dokapitalizowanie spółki  przez właściciela </w:t>
      </w:r>
      <w:r w:rsidR="006967C7" w:rsidRPr="00016D32">
        <w:rPr>
          <w:rFonts w:cstheme="minorHAnsi"/>
          <w:sz w:val="24"/>
          <w:szCs w:val="24"/>
        </w:rPr>
        <w:t>Miasto</w:t>
      </w:r>
      <w:r w:rsidRPr="00016D32">
        <w:rPr>
          <w:rFonts w:cstheme="minorHAnsi"/>
          <w:sz w:val="24"/>
          <w:szCs w:val="24"/>
        </w:rPr>
        <w:t xml:space="preserve"> Tarnobrzeg w formie wkładu pieniężnego. Mając jednak na uwadze potrzeby inwestycyjne </w:t>
      </w:r>
      <w:r w:rsidR="006967C7" w:rsidRPr="00016D32">
        <w:rPr>
          <w:rFonts w:cstheme="minorHAnsi"/>
          <w:sz w:val="24"/>
          <w:szCs w:val="24"/>
        </w:rPr>
        <w:t>Miasta</w:t>
      </w:r>
      <w:r w:rsidRPr="00016D32">
        <w:rPr>
          <w:rFonts w:cstheme="minorHAnsi"/>
          <w:sz w:val="24"/>
          <w:szCs w:val="24"/>
        </w:rPr>
        <w:t xml:space="preserve"> Zarząd ma świadomość ograniczonych możliwości </w:t>
      </w:r>
      <w:r w:rsidR="006967C7" w:rsidRPr="00016D32">
        <w:rPr>
          <w:rFonts w:cstheme="minorHAnsi"/>
          <w:sz w:val="24"/>
          <w:szCs w:val="24"/>
        </w:rPr>
        <w:t>właściciela</w:t>
      </w:r>
      <w:r w:rsidRPr="00016D32">
        <w:rPr>
          <w:rFonts w:cstheme="minorHAnsi"/>
          <w:sz w:val="24"/>
          <w:szCs w:val="24"/>
        </w:rPr>
        <w:t xml:space="preserve"> na dokapitalizowanie Spółki.</w:t>
      </w:r>
    </w:p>
    <w:p w14:paraId="67A9A8AC" w14:textId="61B26BDD" w:rsidR="001C2C25" w:rsidRPr="00016D32" w:rsidRDefault="001C2C25" w:rsidP="007205A7">
      <w:pPr>
        <w:spacing w:after="40" w:line="240" w:lineRule="auto"/>
        <w:ind w:left="284"/>
        <w:jc w:val="both"/>
        <w:rPr>
          <w:rFonts w:cstheme="minorHAnsi"/>
          <w:sz w:val="24"/>
          <w:szCs w:val="24"/>
        </w:rPr>
      </w:pPr>
      <w:r w:rsidRPr="00016D32">
        <w:rPr>
          <w:rFonts w:cstheme="minorHAnsi"/>
          <w:sz w:val="24"/>
          <w:szCs w:val="24"/>
        </w:rPr>
        <w:t>- zbycia aktywów trwałych Spółki – lokali mieszkalnych, boksów garażowych.</w:t>
      </w:r>
    </w:p>
    <w:p w14:paraId="151EE4F5" w14:textId="6DD45F7C" w:rsidR="001C2C25" w:rsidRPr="00016D32" w:rsidRDefault="001C2C25" w:rsidP="007205A7">
      <w:pPr>
        <w:spacing w:after="40" w:line="240" w:lineRule="auto"/>
        <w:ind w:left="284"/>
        <w:jc w:val="both"/>
        <w:rPr>
          <w:rFonts w:cstheme="minorHAnsi"/>
          <w:sz w:val="24"/>
          <w:szCs w:val="24"/>
        </w:rPr>
      </w:pPr>
    </w:p>
    <w:p w14:paraId="0A13DDA8" w14:textId="2A1BB741" w:rsidR="001C2C25" w:rsidRPr="00016D32" w:rsidRDefault="00423FBC" w:rsidP="007205A7">
      <w:pPr>
        <w:spacing w:after="40" w:line="240" w:lineRule="auto"/>
        <w:ind w:left="284"/>
        <w:jc w:val="both"/>
        <w:rPr>
          <w:rFonts w:cstheme="minorHAnsi"/>
          <w:sz w:val="24"/>
          <w:szCs w:val="24"/>
        </w:rPr>
      </w:pPr>
      <w:r w:rsidRPr="00016D32">
        <w:rPr>
          <w:rFonts w:cstheme="minorHAnsi"/>
          <w:sz w:val="24"/>
          <w:szCs w:val="24"/>
        </w:rPr>
        <w:t xml:space="preserve">Zbycie lokali jest możliwe przy spełnieniu zapisów ustawy o </w:t>
      </w:r>
      <w:r w:rsidR="00850FB3" w:rsidRPr="00016D32">
        <w:rPr>
          <w:rFonts w:cstheme="minorHAnsi"/>
          <w:sz w:val="24"/>
          <w:szCs w:val="24"/>
        </w:rPr>
        <w:t>społecznych formach mieszkalnictwa</w:t>
      </w:r>
      <w:r w:rsidR="00DC18D3" w:rsidRPr="00016D32">
        <w:rPr>
          <w:rFonts w:cstheme="minorHAnsi"/>
          <w:sz w:val="24"/>
          <w:szCs w:val="24"/>
        </w:rPr>
        <w:t>.</w:t>
      </w:r>
      <w:r w:rsidR="00850FB3" w:rsidRPr="00016D32">
        <w:rPr>
          <w:rFonts w:cstheme="minorHAnsi"/>
          <w:sz w:val="24"/>
          <w:szCs w:val="24"/>
        </w:rPr>
        <w:t xml:space="preserve"> </w:t>
      </w:r>
      <w:r w:rsidR="00DC18D3" w:rsidRPr="00016D32">
        <w:rPr>
          <w:rFonts w:cstheme="minorHAnsi"/>
          <w:sz w:val="24"/>
          <w:szCs w:val="24"/>
        </w:rPr>
        <w:t>C</w:t>
      </w:r>
      <w:r w:rsidR="00850FB3" w:rsidRPr="00016D32">
        <w:rPr>
          <w:rFonts w:cstheme="minorHAnsi"/>
          <w:sz w:val="24"/>
          <w:szCs w:val="24"/>
        </w:rPr>
        <w:t>ena loka</w:t>
      </w:r>
      <w:r w:rsidR="00DC18D3" w:rsidRPr="00016D32">
        <w:rPr>
          <w:rFonts w:cstheme="minorHAnsi"/>
          <w:sz w:val="24"/>
          <w:szCs w:val="24"/>
        </w:rPr>
        <w:t xml:space="preserve">lu ustalona przez rzeczoznawcę majątkowego w operacie szacunkowym </w:t>
      </w:r>
      <w:r w:rsidR="00850FB3" w:rsidRPr="00016D32">
        <w:rPr>
          <w:rFonts w:cstheme="minorHAnsi"/>
          <w:sz w:val="24"/>
          <w:szCs w:val="24"/>
        </w:rPr>
        <w:t xml:space="preserve"> musi uwzględniać spłatę  </w:t>
      </w:r>
      <w:r w:rsidR="00DC18D3" w:rsidRPr="00016D32">
        <w:rPr>
          <w:rFonts w:cstheme="minorHAnsi"/>
          <w:sz w:val="24"/>
          <w:szCs w:val="24"/>
        </w:rPr>
        <w:t xml:space="preserve">odpowiedniej części </w:t>
      </w:r>
      <w:r w:rsidR="00850FB3" w:rsidRPr="00016D32">
        <w:rPr>
          <w:rFonts w:cstheme="minorHAnsi"/>
          <w:sz w:val="24"/>
          <w:szCs w:val="24"/>
        </w:rPr>
        <w:t>zadłużenia kredytowego  TTBS</w:t>
      </w:r>
      <w:r w:rsidR="00DC18D3" w:rsidRPr="00016D32">
        <w:rPr>
          <w:rFonts w:cstheme="minorHAnsi"/>
          <w:sz w:val="24"/>
          <w:szCs w:val="24"/>
        </w:rPr>
        <w:t xml:space="preserve"> wraz z odsetkami i koszty wyceny nieruchomości, a w przypadku nieruchomości, na które BGK udzielił kredytu na podstawie wniosku złożonego do dnia 30 września 2009 roku, także wysokość przypadającej na ten lokal części umorzenia kredytu. </w:t>
      </w:r>
    </w:p>
    <w:p w14:paraId="2235D94B" w14:textId="0BFE125C" w:rsidR="00400CF0" w:rsidRPr="00016D32" w:rsidRDefault="00DC18D3" w:rsidP="00DC18D3">
      <w:pPr>
        <w:spacing w:after="40" w:line="240" w:lineRule="auto"/>
        <w:ind w:left="284"/>
        <w:jc w:val="both"/>
        <w:rPr>
          <w:rFonts w:cstheme="minorHAnsi"/>
          <w:b/>
          <w:bCs/>
          <w:sz w:val="24"/>
          <w:szCs w:val="24"/>
        </w:rPr>
      </w:pPr>
      <w:r w:rsidRPr="00016D32">
        <w:rPr>
          <w:rFonts w:cstheme="minorHAnsi"/>
          <w:sz w:val="24"/>
          <w:szCs w:val="24"/>
        </w:rPr>
        <w:t>Budynki o najniższym zadłużeniu kredytowym są Kopernika 16A i 16B, dla których spłata kredytu planowana jest na  II półrocze 2026 roku oraz budynek 11 listopada 6A,</w:t>
      </w:r>
      <w:r w:rsidR="00FB67C8" w:rsidRPr="00016D32">
        <w:rPr>
          <w:rFonts w:cstheme="minorHAnsi"/>
          <w:sz w:val="24"/>
          <w:szCs w:val="24"/>
        </w:rPr>
        <w:t xml:space="preserve"> Dekutowskiego 26, 26A </w:t>
      </w:r>
      <w:r w:rsidRPr="00016D32">
        <w:rPr>
          <w:rFonts w:cstheme="minorHAnsi"/>
          <w:sz w:val="24"/>
          <w:szCs w:val="24"/>
        </w:rPr>
        <w:t xml:space="preserve"> dla któr</w:t>
      </w:r>
      <w:r w:rsidR="00FB67C8" w:rsidRPr="00016D32">
        <w:rPr>
          <w:rFonts w:cstheme="minorHAnsi"/>
          <w:sz w:val="24"/>
          <w:szCs w:val="24"/>
        </w:rPr>
        <w:t>ych</w:t>
      </w:r>
      <w:r w:rsidRPr="00016D32">
        <w:rPr>
          <w:rFonts w:cstheme="minorHAnsi"/>
          <w:sz w:val="24"/>
          <w:szCs w:val="24"/>
        </w:rPr>
        <w:t xml:space="preserve"> spłata kredytu zakończy się w I połowie 2028 roku.</w:t>
      </w:r>
    </w:p>
    <w:p w14:paraId="5972D6A4" w14:textId="5A9B0BC8" w:rsidR="00DC18D3" w:rsidRPr="00016D32" w:rsidRDefault="008B49CE" w:rsidP="001244B9">
      <w:pPr>
        <w:spacing w:after="40" w:line="240" w:lineRule="auto"/>
        <w:jc w:val="both"/>
        <w:rPr>
          <w:rFonts w:cstheme="minorHAnsi"/>
          <w:sz w:val="24"/>
          <w:szCs w:val="24"/>
        </w:rPr>
      </w:pPr>
      <w:r w:rsidRPr="00016D32">
        <w:rPr>
          <w:rFonts w:cstheme="minorHAnsi"/>
          <w:sz w:val="24"/>
          <w:szCs w:val="24"/>
        </w:rPr>
        <w:t>Lokale w tych budynkach posiadają najniższe obciążania kredytowe i mogą stanowić atrakcyjną ofertę zakupu dla obecnych najemców.</w:t>
      </w:r>
    </w:p>
    <w:p w14:paraId="369210EF" w14:textId="77777777" w:rsidR="00DC18D3" w:rsidRPr="00016D32" w:rsidRDefault="00DC18D3" w:rsidP="001244B9">
      <w:pPr>
        <w:spacing w:after="40" w:line="240" w:lineRule="auto"/>
        <w:jc w:val="both"/>
        <w:rPr>
          <w:rFonts w:cstheme="minorHAnsi"/>
          <w:sz w:val="24"/>
          <w:szCs w:val="24"/>
        </w:rPr>
      </w:pPr>
    </w:p>
    <w:p w14:paraId="685B1210" w14:textId="25A142F2" w:rsidR="001244B9" w:rsidRPr="00016D32" w:rsidRDefault="00D76BAE" w:rsidP="001244B9">
      <w:pPr>
        <w:spacing w:after="40" w:line="240" w:lineRule="auto"/>
        <w:jc w:val="both"/>
        <w:rPr>
          <w:rFonts w:cstheme="minorHAnsi"/>
          <w:b/>
          <w:bCs/>
          <w:sz w:val="24"/>
          <w:szCs w:val="24"/>
        </w:rPr>
      </w:pPr>
      <w:r w:rsidRPr="00016D32">
        <w:rPr>
          <w:rFonts w:cstheme="minorHAnsi"/>
          <w:b/>
          <w:bCs/>
          <w:sz w:val="24"/>
          <w:szCs w:val="24"/>
        </w:rPr>
        <w:t>Podsumowując:</w:t>
      </w:r>
    </w:p>
    <w:p w14:paraId="43D61CDB" w14:textId="132D46F6" w:rsidR="00282B03" w:rsidRPr="00016D32" w:rsidRDefault="00D76BAE" w:rsidP="003E6B4E">
      <w:pPr>
        <w:spacing w:after="40" w:line="240" w:lineRule="auto"/>
        <w:jc w:val="both"/>
        <w:rPr>
          <w:rFonts w:cstheme="minorHAnsi"/>
          <w:b/>
          <w:bCs/>
          <w:sz w:val="24"/>
          <w:szCs w:val="24"/>
        </w:rPr>
      </w:pPr>
      <w:r w:rsidRPr="00016D32">
        <w:rPr>
          <w:rFonts w:cstheme="minorHAnsi"/>
          <w:sz w:val="24"/>
          <w:szCs w:val="24"/>
        </w:rPr>
        <w:t>Sytuacja prawna i finansowa Spółki działającej w konkurencyjnym otoczeniu na chwilę obecną i w najbliższej przyszłości  nie daje jej możliwości rozwoju – podejmowania działań inwestycyjnych dla których została stworzona.</w:t>
      </w:r>
      <w:r w:rsidR="00BB4B75" w:rsidRPr="00016D32">
        <w:rPr>
          <w:rFonts w:cstheme="minorHAnsi"/>
          <w:sz w:val="24"/>
          <w:szCs w:val="24"/>
        </w:rPr>
        <w:t xml:space="preserve"> </w:t>
      </w:r>
      <w:r w:rsidR="00FB67C8" w:rsidRPr="00016D32">
        <w:rPr>
          <w:rFonts w:cstheme="minorHAnsi"/>
          <w:sz w:val="24"/>
          <w:szCs w:val="24"/>
        </w:rPr>
        <w:t xml:space="preserve">Jedynie zdecydowane działania właścicielskie w zakresie zwiększenia aktywów finansowych Spółki umożliwią zatrzymanie niekorzystnych </w:t>
      </w:r>
      <w:r w:rsidR="00143172">
        <w:rPr>
          <w:rFonts w:cstheme="minorHAnsi"/>
          <w:sz w:val="24"/>
          <w:szCs w:val="24"/>
        </w:rPr>
        <w:t xml:space="preserve">trendów </w:t>
      </w:r>
      <w:r w:rsidR="00FB67C8" w:rsidRPr="00016D32">
        <w:rPr>
          <w:rFonts w:cstheme="minorHAnsi"/>
          <w:sz w:val="24"/>
          <w:szCs w:val="24"/>
        </w:rPr>
        <w:t xml:space="preserve"> i dadzą impuls do dalszego rozwoju spółki.</w:t>
      </w:r>
    </w:p>
    <w:p w14:paraId="79555DCE" w14:textId="77777777" w:rsidR="00F40BE0" w:rsidRPr="00016D32" w:rsidRDefault="00F40BE0" w:rsidP="00887032">
      <w:pPr>
        <w:spacing w:after="40"/>
        <w:jc w:val="both"/>
        <w:rPr>
          <w:rFonts w:cstheme="minorHAnsi"/>
          <w:b/>
          <w:bCs/>
          <w:sz w:val="24"/>
          <w:szCs w:val="24"/>
        </w:rPr>
      </w:pPr>
    </w:p>
    <w:sectPr w:rsidR="00F40BE0" w:rsidRPr="00016D32" w:rsidSect="00C86190">
      <w:footerReference w:type="default" r:id="rId8"/>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A69EB" w14:textId="77777777" w:rsidR="005B0027" w:rsidRDefault="005B0027" w:rsidP="00FF38EA">
      <w:pPr>
        <w:spacing w:after="0" w:line="240" w:lineRule="auto"/>
      </w:pPr>
      <w:r>
        <w:separator/>
      </w:r>
    </w:p>
  </w:endnote>
  <w:endnote w:type="continuationSeparator" w:id="0">
    <w:p w14:paraId="04DB5891" w14:textId="77777777" w:rsidR="005B0027" w:rsidRDefault="005B0027" w:rsidP="00FF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711971"/>
      <w:docPartObj>
        <w:docPartGallery w:val="Page Numbers (Bottom of Page)"/>
        <w:docPartUnique/>
      </w:docPartObj>
    </w:sdtPr>
    <w:sdtContent>
      <w:p w14:paraId="4C0CA30C" w14:textId="720610BB" w:rsidR="00D8476D" w:rsidRDefault="00D8476D">
        <w:pPr>
          <w:pStyle w:val="Stopka"/>
          <w:jc w:val="right"/>
        </w:pPr>
        <w:r>
          <w:fldChar w:fldCharType="begin"/>
        </w:r>
        <w:r>
          <w:instrText>PAGE   \* MERGEFORMAT</w:instrText>
        </w:r>
        <w:r>
          <w:fldChar w:fldCharType="separate"/>
        </w:r>
        <w:r>
          <w:t>2</w:t>
        </w:r>
        <w:r>
          <w:fldChar w:fldCharType="end"/>
        </w:r>
      </w:p>
    </w:sdtContent>
  </w:sdt>
  <w:p w14:paraId="7B2C7D5D" w14:textId="77777777" w:rsidR="00D8476D" w:rsidRDefault="00D847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B9084" w14:textId="77777777" w:rsidR="005B0027" w:rsidRDefault="005B0027" w:rsidP="00FF38EA">
      <w:pPr>
        <w:spacing w:after="0" w:line="240" w:lineRule="auto"/>
      </w:pPr>
      <w:r>
        <w:separator/>
      </w:r>
    </w:p>
  </w:footnote>
  <w:footnote w:type="continuationSeparator" w:id="0">
    <w:p w14:paraId="6D17D26A" w14:textId="77777777" w:rsidR="005B0027" w:rsidRDefault="005B0027" w:rsidP="00FF3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1FD6"/>
    <w:multiLevelType w:val="hybridMultilevel"/>
    <w:tmpl w:val="D6344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A00E8C"/>
    <w:multiLevelType w:val="hybridMultilevel"/>
    <w:tmpl w:val="EFECBB2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17D16"/>
    <w:multiLevelType w:val="hybridMultilevel"/>
    <w:tmpl w:val="3462FD7A"/>
    <w:lvl w:ilvl="0" w:tplc="DD64C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922753"/>
    <w:multiLevelType w:val="hybridMultilevel"/>
    <w:tmpl w:val="1068AC24"/>
    <w:lvl w:ilvl="0" w:tplc="B002DB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E66FA2"/>
    <w:multiLevelType w:val="hybridMultilevel"/>
    <w:tmpl w:val="63402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177F2"/>
    <w:multiLevelType w:val="hybridMultilevel"/>
    <w:tmpl w:val="C3CE4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22C7F"/>
    <w:multiLevelType w:val="hybridMultilevel"/>
    <w:tmpl w:val="DC8436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458CD"/>
    <w:multiLevelType w:val="hybridMultilevel"/>
    <w:tmpl w:val="0074A9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D53201F"/>
    <w:multiLevelType w:val="hybridMultilevel"/>
    <w:tmpl w:val="FC923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A1BFE"/>
    <w:multiLevelType w:val="hybridMultilevel"/>
    <w:tmpl w:val="4F70EF5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7F305E"/>
    <w:multiLevelType w:val="hybridMultilevel"/>
    <w:tmpl w:val="C1682F9E"/>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8C357A"/>
    <w:multiLevelType w:val="hybridMultilevel"/>
    <w:tmpl w:val="95A8B7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10722EF"/>
    <w:multiLevelType w:val="hybridMultilevel"/>
    <w:tmpl w:val="EA30F0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6753F9"/>
    <w:multiLevelType w:val="hybridMultilevel"/>
    <w:tmpl w:val="86D4E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EA485D"/>
    <w:multiLevelType w:val="hybridMultilevel"/>
    <w:tmpl w:val="5F0005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AE7F1F"/>
    <w:multiLevelType w:val="hybridMultilevel"/>
    <w:tmpl w:val="4B3EE234"/>
    <w:lvl w:ilvl="0" w:tplc="757C76C8">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296402"/>
    <w:multiLevelType w:val="hybridMultilevel"/>
    <w:tmpl w:val="C7047D5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3A1C7D0A"/>
    <w:multiLevelType w:val="hybridMultilevel"/>
    <w:tmpl w:val="082869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B10FD5"/>
    <w:multiLevelType w:val="hybridMultilevel"/>
    <w:tmpl w:val="238279C2"/>
    <w:lvl w:ilvl="0" w:tplc="560EAE3E">
      <w:start w:val="2"/>
      <w:numFmt w:val="upperRoman"/>
      <w:lvlText w:val="%1&gt;"/>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005037F"/>
    <w:multiLevelType w:val="hybridMultilevel"/>
    <w:tmpl w:val="D5DAA8E4"/>
    <w:lvl w:ilvl="0" w:tplc="1BE0CE4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576209"/>
    <w:multiLevelType w:val="hybridMultilevel"/>
    <w:tmpl w:val="8EE0C2DA"/>
    <w:lvl w:ilvl="0" w:tplc="B9823AF6">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714B02"/>
    <w:multiLevelType w:val="hybridMultilevel"/>
    <w:tmpl w:val="67662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EC3F2A"/>
    <w:multiLevelType w:val="hybridMultilevel"/>
    <w:tmpl w:val="181890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72056"/>
    <w:multiLevelType w:val="hybridMultilevel"/>
    <w:tmpl w:val="61A45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0F3FAD"/>
    <w:multiLevelType w:val="hybridMultilevel"/>
    <w:tmpl w:val="4F142F0C"/>
    <w:lvl w:ilvl="0" w:tplc="DD64C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587B4B"/>
    <w:multiLevelType w:val="hybridMultilevel"/>
    <w:tmpl w:val="3A8EE6CC"/>
    <w:lvl w:ilvl="0" w:tplc="C92C10A0">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6964FC3"/>
    <w:multiLevelType w:val="hybridMultilevel"/>
    <w:tmpl w:val="7A7C89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DB24B9"/>
    <w:multiLevelType w:val="hybridMultilevel"/>
    <w:tmpl w:val="3A8EE6C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FA42507"/>
    <w:multiLevelType w:val="hybridMultilevel"/>
    <w:tmpl w:val="3F24D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395AFD"/>
    <w:multiLevelType w:val="hybridMultilevel"/>
    <w:tmpl w:val="C6CE72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75C14E2D"/>
    <w:multiLevelType w:val="hybridMultilevel"/>
    <w:tmpl w:val="D160F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C0624C"/>
    <w:multiLevelType w:val="hybridMultilevel"/>
    <w:tmpl w:val="AC6AEA42"/>
    <w:lvl w:ilvl="0" w:tplc="F3E082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3D0942"/>
    <w:multiLevelType w:val="hybridMultilevel"/>
    <w:tmpl w:val="16D67194"/>
    <w:lvl w:ilvl="0" w:tplc="FBC09EA2">
      <w:start w:val="2"/>
      <w:numFmt w:val="upperRoman"/>
      <w:lvlText w:val="%1&gt;"/>
      <w:lvlJc w:val="left"/>
      <w:pPr>
        <w:ind w:left="2520" w:hanging="72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7C077283"/>
    <w:multiLevelType w:val="hybridMultilevel"/>
    <w:tmpl w:val="2D42C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85418548">
    <w:abstractNumId w:val="26"/>
  </w:num>
  <w:num w:numId="2" w16cid:durableId="902528116">
    <w:abstractNumId w:val="21"/>
  </w:num>
  <w:num w:numId="3" w16cid:durableId="1194615288">
    <w:abstractNumId w:val="23"/>
  </w:num>
  <w:num w:numId="4" w16cid:durableId="1027947757">
    <w:abstractNumId w:val="20"/>
  </w:num>
  <w:num w:numId="5" w16cid:durableId="557127288">
    <w:abstractNumId w:val="5"/>
  </w:num>
  <w:num w:numId="6" w16cid:durableId="1489056680">
    <w:abstractNumId w:val="31"/>
  </w:num>
  <w:num w:numId="7" w16cid:durableId="1861550112">
    <w:abstractNumId w:val="22"/>
  </w:num>
  <w:num w:numId="8" w16cid:durableId="1359433742">
    <w:abstractNumId w:val="25"/>
  </w:num>
  <w:num w:numId="9" w16cid:durableId="657878896">
    <w:abstractNumId w:val="10"/>
  </w:num>
  <w:num w:numId="10" w16cid:durableId="792751159">
    <w:abstractNumId w:val="3"/>
  </w:num>
  <w:num w:numId="11" w16cid:durableId="1975595121">
    <w:abstractNumId w:val="27"/>
  </w:num>
  <w:num w:numId="12" w16cid:durableId="1243030908">
    <w:abstractNumId w:val="13"/>
  </w:num>
  <w:num w:numId="13" w16cid:durableId="899678291">
    <w:abstractNumId w:val="14"/>
  </w:num>
  <w:num w:numId="14" w16cid:durableId="1285304200">
    <w:abstractNumId w:val="18"/>
  </w:num>
  <w:num w:numId="15" w16cid:durableId="1155028416">
    <w:abstractNumId w:val="32"/>
  </w:num>
  <w:num w:numId="16" w16cid:durableId="1956137994">
    <w:abstractNumId w:val="28"/>
  </w:num>
  <w:num w:numId="17" w16cid:durableId="972322233">
    <w:abstractNumId w:val="2"/>
  </w:num>
  <w:num w:numId="18" w16cid:durableId="1324354162">
    <w:abstractNumId w:val="24"/>
  </w:num>
  <w:num w:numId="19" w16cid:durableId="1808357487">
    <w:abstractNumId w:val="0"/>
  </w:num>
  <w:num w:numId="20" w16cid:durableId="57436536">
    <w:abstractNumId w:val="6"/>
  </w:num>
  <w:num w:numId="21" w16cid:durableId="1414618205">
    <w:abstractNumId w:val="4"/>
  </w:num>
  <w:num w:numId="22" w16cid:durableId="154339926">
    <w:abstractNumId w:val="15"/>
  </w:num>
  <w:num w:numId="23" w16cid:durableId="1993832936">
    <w:abstractNumId w:val="33"/>
  </w:num>
  <w:num w:numId="24" w16cid:durableId="953944207">
    <w:abstractNumId w:val="17"/>
  </w:num>
  <w:num w:numId="25" w16cid:durableId="1574773169">
    <w:abstractNumId w:val="12"/>
  </w:num>
  <w:num w:numId="26" w16cid:durableId="1845436305">
    <w:abstractNumId w:val="16"/>
  </w:num>
  <w:num w:numId="27" w16cid:durableId="762262919">
    <w:abstractNumId w:val="9"/>
  </w:num>
  <w:num w:numId="28" w16cid:durableId="2085757841">
    <w:abstractNumId w:val="11"/>
  </w:num>
  <w:num w:numId="29" w16cid:durableId="2058895460">
    <w:abstractNumId w:val="29"/>
  </w:num>
  <w:num w:numId="30" w16cid:durableId="910195069">
    <w:abstractNumId w:val="19"/>
  </w:num>
  <w:num w:numId="31" w16cid:durableId="1736317716">
    <w:abstractNumId w:val="7"/>
  </w:num>
  <w:num w:numId="32" w16cid:durableId="1906842295">
    <w:abstractNumId w:val="8"/>
  </w:num>
  <w:num w:numId="33" w16cid:durableId="465927959">
    <w:abstractNumId w:val="30"/>
  </w:num>
  <w:num w:numId="34" w16cid:durableId="169476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07"/>
    <w:rsid w:val="00002536"/>
    <w:rsid w:val="00016D32"/>
    <w:rsid w:val="000346F6"/>
    <w:rsid w:val="00064E1E"/>
    <w:rsid w:val="00065FF3"/>
    <w:rsid w:val="000743EA"/>
    <w:rsid w:val="000804CB"/>
    <w:rsid w:val="000A5E2E"/>
    <w:rsid w:val="000B2F9A"/>
    <w:rsid w:val="000C4ACB"/>
    <w:rsid w:val="000D3F7B"/>
    <w:rsid w:val="000D5952"/>
    <w:rsid w:val="000E37B5"/>
    <w:rsid w:val="000F1998"/>
    <w:rsid w:val="000F264E"/>
    <w:rsid w:val="0010163A"/>
    <w:rsid w:val="00102A38"/>
    <w:rsid w:val="001244B9"/>
    <w:rsid w:val="001303F9"/>
    <w:rsid w:val="00143172"/>
    <w:rsid w:val="00147D9F"/>
    <w:rsid w:val="00155A7A"/>
    <w:rsid w:val="001617E9"/>
    <w:rsid w:val="00164D5F"/>
    <w:rsid w:val="0018124B"/>
    <w:rsid w:val="00185156"/>
    <w:rsid w:val="0019604C"/>
    <w:rsid w:val="001C1D3C"/>
    <w:rsid w:val="001C2C25"/>
    <w:rsid w:val="001C3DC8"/>
    <w:rsid w:val="001F2782"/>
    <w:rsid w:val="001F2852"/>
    <w:rsid w:val="00204258"/>
    <w:rsid w:val="0022484A"/>
    <w:rsid w:val="002462EA"/>
    <w:rsid w:val="00260FDD"/>
    <w:rsid w:val="00266467"/>
    <w:rsid w:val="00282B03"/>
    <w:rsid w:val="002A7448"/>
    <w:rsid w:val="002B0565"/>
    <w:rsid w:val="002C670F"/>
    <w:rsid w:val="002D0FE5"/>
    <w:rsid w:val="002E7B50"/>
    <w:rsid w:val="003128C4"/>
    <w:rsid w:val="003441ED"/>
    <w:rsid w:val="00354DC5"/>
    <w:rsid w:val="003605CE"/>
    <w:rsid w:val="003658B7"/>
    <w:rsid w:val="003841C8"/>
    <w:rsid w:val="00385D58"/>
    <w:rsid w:val="0039444F"/>
    <w:rsid w:val="003B191B"/>
    <w:rsid w:val="003C3BD4"/>
    <w:rsid w:val="003E6B4E"/>
    <w:rsid w:val="00400CF0"/>
    <w:rsid w:val="0042204C"/>
    <w:rsid w:val="00423FBC"/>
    <w:rsid w:val="00427170"/>
    <w:rsid w:val="004348FD"/>
    <w:rsid w:val="00434AF8"/>
    <w:rsid w:val="00440F3B"/>
    <w:rsid w:val="00462B32"/>
    <w:rsid w:val="00482DC7"/>
    <w:rsid w:val="004D26BA"/>
    <w:rsid w:val="004E21FB"/>
    <w:rsid w:val="00500CA8"/>
    <w:rsid w:val="00503706"/>
    <w:rsid w:val="00504300"/>
    <w:rsid w:val="00504EA7"/>
    <w:rsid w:val="00533C9C"/>
    <w:rsid w:val="00536075"/>
    <w:rsid w:val="0055394C"/>
    <w:rsid w:val="005561FC"/>
    <w:rsid w:val="00561D65"/>
    <w:rsid w:val="00593BF9"/>
    <w:rsid w:val="005A2863"/>
    <w:rsid w:val="005B0027"/>
    <w:rsid w:val="005B0903"/>
    <w:rsid w:val="005E414B"/>
    <w:rsid w:val="005F1F63"/>
    <w:rsid w:val="006209B0"/>
    <w:rsid w:val="00623A28"/>
    <w:rsid w:val="00635029"/>
    <w:rsid w:val="00661E74"/>
    <w:rsid w:val="00683033"/>
    <w:rsid w:val="00690C85"/>
    <w:rsid w:val="006967C7"/>
    <w:rsid w:val="006A398A"/>
    <w:rsid w:val="006C6774"/>
    <w:rsid w:val="006D1EA9"/>
    <w:rsid w:val="00703814"/>
    <w:rsid w:val="00717BDB"/>
    <w:rsid w:val="007205A7"/>
    <w:rsid w:val="0074796E"/>
    <w:rsid w:val="0076163E"/>
    <w:rsid w:val="00781B83"/>
    <w:rsid w:val="007A6B93"/>
    <w:rsid w:val="007C37D8"/>
    <w:rsid w:val="007D5F53"/>
    <w:rsid w:val="007F6C54"/>
    <w:rsid w:val="00803C3A"/>
    <w:rsid w:val="00836159"/>
    <w:rsid w:val="00840FFC"/>
    <w:rsid w:val="00850FB3"/>
    <w:rsid w:val="008552CC"/>
    <w:rsid w:val="00877050"/>
    <w:rsid w:val="00887032"/>
    <w:rsid w:val="00891410"/>
    <w:rsid w:val="008B0174"/>
    <w:rsid w:val="008B49CE"/>
    <w:rsid w:val="008C7434"/>
    <w:rsid w:val="008F2C5C"/>
    <w:rsid w:val="0090202B"/>
    <w:rsid w:val="0090276D"/>
    <w:rsid w:val="00921889"/>
    <w:rsid w:val="00924A03"/>
    <w:rsid w:val="00924B25"/>
    <w:rsid w:val="0092740B"/>
    <w:rsid w:val="00956130"/>
    <w:rsid w:val="00982CE6"/>
    <w:rsid w:val="009A133E"/>
    <w:rsid w:val="009B2882"/>
    <w:rsid w:val="009B3E86"/>
    <w:rsid w:val="009B63F5"/>
    <w:rsid w:val="009C6207"/>
    <w:rsid w:val="009D377F"/>
    <w:rsid w:val="00A20AE0"/>
    <w:rsid w:val="00A21600"/>
    <w:rsid w:val="00A22081"/>
    <w:rsid w:val="00A8794B"/>
    <w:rsid w:val="00A9446E"/>
    <w:rsid w:val="00AA30C2"/>
    <w:rsid w:val="00AC04CA"/>
    <w:rsid w:val="00AC1A45"/>
    <w:rsid w:val="00AE0D8B"/>
    <w:rsid w:val="00AE6168"/>
    <w:rsid w:val="00AF4847"/>
    <w:rsid w:val="00AF6780"/>
    <w:rsid w:val="00B04AB3"/>
    <w:rsid w:val="00B50DD4"/>
    <w:rsid w:val="00B70516"/>
    <w:rsid w:val="00B74B95"/>
    <w:rsid w:val="00BB4B75"/>
    <w:rsid w:val="00BC499C"/>
    <w:rsid w:val="00BE22D7"/>
    <w:rsid w:val="00BF42F1"/>
    <w:rsid w:val="00C0728C"/>
    <w:rsid w:val="00C1367D"/>
    <w:rsid w:val="00C255AA"/>
    <w:rsid w:val="00C42389"/>
    <w:rsid w:val="00C74AAD"/>
    <w:rsid w:val="00C86190"/>
    <w:rsid w:val="00C9358D"/>
    <w:rsid w:val="00CA466C"/>
    <w:rsid w:val="00CA6AF1"/>
    <w:rsid w:val="00CF67B1"/>
    <w:rsid w:val="00D043FF"/>
    <w:rsid w:val="00D539CA"/>
    <w:rsid w:val="00D6245C"/>
    <w:rsid w:val="00D76BAE"/>
    <w:rsid w:val="00D82434"/>
    <w:rsid w:val="00D8476D"/>
    <w:rsid w:val="00DA50AF"/>
    <w:rsid w:val="00DB6B06"/>
    <w:rsid w:val="00DC18D3"/>
    <w:rsid w:val="00DF244B"/>
    <w:rsid w:val="00E056EE"/>
    <w:rsid w:val="00E26FD3"/>
    <w:rsid w:val="00E5405B"/>
    <w:rsid w:val="00E76A6E"/>
    <w:rsid w:val="00E80D6C"/>
    <w:rsid w:val="00E84A9C"/>
    <w:rsid w:val="00E93039"/>
    <w:rsid w:val="00EC42B3"/>
    <w:rsid w:val="00ED22E6"/>
    <w:rsid w:val="00ED47D9"/>
    <w:rsid w:val="00ED50D5"/>
    <w:rsid w:val="00EE035B"/>
    <w:rsid w:val="00F13661"/>
    <w:rsid w:val="00F1548B"/>
    <w:rsid w:val="00F15CEC"/>
    <w:rsid w:val="00F30A10"/>
    <w:rsid w:val="00F3144F"/>
    <w:rsid w:val="00F40BE0"/>
    <w:rsid w:val="00F55DCA"/>
    <w:rsid w:val="00F57AFF"/>
    <w:rsid w:val="00F61F78"/>
    <w:rsid w:val="00F76401"/>
    <w:rsid w:val="00F8238C"/>
    <w:rsid w:val="00FB67C8"/>
    <w:rsid w:val="00FC2B7D"/>
    <w:rsid w:val="00FE1A46"/>
    <w:rsid w:val="00FF091C"/>
    <w:rsid w:val="00FF3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D7DA"/>
  <w15:docId w15:val="{2DFDD9F4-0698-4C78-8B1E-5965F9D6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58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F38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38EA"/>
    <w:rPr>
      <w:sz w:val="20"/>
      <w:szCs w:val="20"/>
    </w:rPr>
  </w:style>
  <w:style w:type="character" w:styleId="Odwoanieprzypisukocowego">
    <w:name w:val="endnote reference"/>
    <w:basedOn w:val="Domylnaczcionkaakapitu"/>
    <w:uiPriority w:val="99"/>
    <w:semiHidden/>
    <w:unhideWhenUsed/>
    <w:rsid w:val="00FF38EA"/>
    <w:rPr>
      <w:vertAlign w:val="superscript"/>
    </w:rPr>
  </w:style>
  <w:style w:type="paragraph" w:styleId="Akapitzlist">
    <w:name w:val="List Paragraph"/>
    <w:basedOn w:val="Normalny"/>
    <w:uiPriority w:val="34"/>
    <w:qFormat/>
    <w:rsid w:val="003128C4"/>
    <w:pPr>
      <w:ind w:left="720"/>
      <w:contextualSpacing/>
    </w:pPr>
  </w:style>
  <w:style w:type="character" w:styleId="Uwydatnienie">
    <w:name w:val="Emphasis"/>
    <w:basedOn w:val="Domylnaczcionkaakapitu"/>
    <w:uiPriority w:val="20"/>
    <w:qFormat/>
    <w:rsid w:val="003E6B4E"/>
    <w:rPr>
      <w:i/>
      <w:iCs/>
    </w:rPr>
  </w:style>
  <w:style w:type="character" w:styleId="Pogrubienie">
    <w:name w:val="Strong"/>
    <w:basedOn w:val="Domylnaczcionkaakapitu"/>
    <w:uiPriority w:val="22"/>
    <w:qFormat/>
    <w:rsid w:val="003E6B4E"/>
    <w:rPr>
      <w:b/>
      <w:bCs/>
    </w:rPr>
  </w:style>
  <w:style w:type="paragraph" w:styleId="Nagwek">
    <w:name w:val="header"/>
    <w:basedOn w:val="Normalny"/>
    <w:link w:val="NagwekZnak"/>
    <w:uiPriority w:val="99"/>
    <w:unhideWhenUsed/>
    <w:rsid w:val="00D847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76D"/>
  </w:style>
  <w:style w:type="paragraph" w:styleId="Stopka">
    <w:name w:val="footer"/>
    <w:basedOn w:val="Normalny"/>
    <w:link w:val="StopkaZnak"/>
    <w:uiPriority w:val="99"/>
    <w:unhideWhenUsed/>
    <w:rsid w:val="00D847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E2511-5AFF-4613-BFC3-B0DFF25A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3246</Words>
  <Characters>19476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PREZES</dc:creator>
  <cp:keywords/>
  <dc:description/>
  <cp:lastModifiedBy>PREZES</cp:lastModifiedBy>
  <cp:revision>7</cp:revision>
  <cp:lastPrinted>2024-09-06T10:09:00Z</cp:lastPrinted>
  <dcterms:created xsi:type="dcterms:W3CDTF">2024-09-06T07:28:00Z</dcterms:created>
  <dcterms:modified xsi:type="dcterms:W3CDTF">2024-09-09T12:40:00Z</dcterms:modified>
</cp:coreProperties>
</file>